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814D" w14:textId="77777777" w:rsidR="00577F15" w:rsidRPr="00721C11" w:rsidRDefault="00577F15" w:rsidP="0066170E">
      <w:pPr>
        <w:rPr>
          <w:rFonts w:cs="Arial"/>
          <w:b/>
          <w:bCs/>
          <w:lang w:val="en-GB"/>
        </w:rPr>
      </w:pPr>
    </w:p>
    <w:p w14:paraId="2F561787" w14:textId="77777777" w:rsidR="004519A3" w:rsidRPr="004519A3" w:rsidRDefault="004519A3" w:rsidP="004519A3">
      <w:pPr>
        <w:spacing w:before="0"/>
        <w:jc w:val="center"/>
        <w:rPr>
          <w:rFonts w:cs="Arial"/>
          <w:b/>
          <w:bCs/>
          <w:lang w:val="en-GB"/>
        </w:rPr>
      </w:pPr>
    </w:p>
    <w:p w14:paraId="14D1647F" w14:textId="77777777" w:rsidR="004519A3" w:rsidRPr="004519A3" w:rsidRDefault="004519A3" w:rsidP="004519A3">
      <w:pPr>
        <w:spacing w:before="0"/>
        <w:jc w:val="center"/>
        <w:rPr>
          <w:rFonts w:cs="Arial"/>
          <w:b/>
          <w:bCs/>
          <w:lang w:val="en-GB"/>
        </w:rPr>
      </w:pPr>
    </w:p>
    <w:p w14:paraId="4009166E" w14:textId="77777777" w:rsidR="004519A3" w:rsidRPr="004519A3" w:rsidRDefault="004519A3" w:rsidP="004519A3">
      <w:pPr>
        <w:spacing w:before="0"/>
        <w:jc w:val="center"/>
        <w:rPr>
          <w:rFonts w:cs="Arial"/>
          <w:b/>
          <w:bCs/>
          <w:lang w:val="en-GB"/>
        </w:rPr>
      </w:pPr>
    </w:p>
    <w:p w14:paraId="37AE5FF0" w14:textId="77777777" w:rsidR="004519A3" w:rsidRPr="004519A3" w:rsidRDefault="004519A3" w:rsidP="004519A3">
      <w:pPr>
        <w:spacing w:before="0"/>
        <w:jc w:val="center"/>
        <w:rPr>
          <w:rFonts w:cs="Arial"/>
          <w:b/>
          <w:bCs/>
          <w:lang w:val="en-GB"/>
        </w:rPr>
      </w:pPr>
    </w:p>
    <w:p w14:paraId="37A35C32" w14:textId="77777777" w:rsidR="004519A3" w:rsidRPr="004519A3" w:rsidRDefault="004519A3" w:rsidP="004519A3">
      <w:pPr>
        <w:spacing w:before="0"/>
        <w:jc w:val="center"/>
        <w:rPr>
          <w:rFonts w:cs="Arial"/>
          <w:b/>
          <w:bCs/>
          <w:lang w:val="en-GB"/>
        </w:rPr>
      </w:pPr>
    </w:p>
    <w:p w14:paraId="1114B41F" w14:textId="77777777" w:rsidR="004519A3" w:rsidRPr="004519A3" w:rsidRDefault="004519A3" w:rsidP="004519A3">
      <w:pPr>
        <w:spacing w:before="0"/>
        <w:jc w:val="center"/>
        <w:rPr>
          <w:rFonts w:cs="Arial"/>
          <w:b/>
          <w:bCs/>
          <w:lang w:val="en-GB"/>
        </w:rPr>
      </w:pPr>
    </w:p>
    <w:p w14:paraId="624EC773" w14:textId="77777777" w:rsidR="004519A3" w:rsidRPr="004519A3" w:rsidRDefault="004519A3" w:rsidP="004519A3">
      <w:pPr>
        <w:spacing w:before="0"/>
        <w:jc w:val="center"/>
        <w:rPr>
          <w:rFonts w:cs="Arial"/>
          <w:b/>
          <w:bCs/>
          <w:lang w:val="en-GB"/>
        </w:rPr>
      </w:pPr>
    </w:p>
    <w:p w14:paraId="03467DD8" w14:textId="77777777" w:rsidR="004519A3" w:rsidRPr="004519A3" w:rsidRDefault="004519A3" w:rsidP="004519A3">
      <w:pPr>
        <w:spacing w:before="0"/>
        <w:jc w:val="center"/>
        <w:rPr>
          <w:rFonts w:cs="Arial"/>
          <w:b/>
          <w:bCs/>
          <w:lang w:val="en-GB"/>
        </w:rPr>
      </w:pPr>
    </w:p>
    <w:p w14:paraId="42566CA2" w14:textId="77777777" w:rsidR="004519A3" w:rsidRPr="004519A3" w:rsidRDefault="004519A3" w:rsidP="004519A3">
      <w:pPr>
        <w:spacing w:before="0"/>
        <w:jc w:val="center"/>
        <w:rPr>
          <w:rFonts w:cs="Arial"/>
          <w:b/>
          <w:bCs/>
          <w:lang w:val="en-GB"/>
        </w:rPr>
      </w:pPr>
    </w:p>
    <w:p w14:paraId="0892604B" w14:textId="77777777" w:rsidR="004519A3" w:rsidRPr="004519A3" w:rsidRDefault="004519A3" w:rsidP="004519A3">
      <w:pPr>
        <w:spacing w:before="0"/>
        <w:jc w:val="center"/>
        <w:rPr>
          <w:rFonts w:cs="Arial"/>
          <w:b/>
          <w:bCs/>
          <w:lang w:val="en-GB"/>
        </w:rPr>
      </w:pPr>
    </w:p>
    <w:p w14:paraId="7284D4C4" w14:textId="77777777" w:rsidR="004519A3" w:rsidRPr="004519A3" w:rsidRDefault="004519A3" w:rsidP="004519A3">
      <w:pPr>
        <w:spacing w:before="0"/>
        <w:jc w:val="center"/>
        <w:rPr>
          <w:rFonts w:cs="Arial"/>
          <w:b/>
          <w:bCs/>
          <w:lang w:val="en-GB"/>
        </w:rPr>
      </w:pPr>
    </w:p>
    <w:p w14:paraId="6CE353E5" w14:textId="77777777" w:rsidR="004519A3" w:rsidRPr="004519A3" w:rsidRDefault="004519A3" w:rsidP="004519A3">
      <w:pPr>
        <w:spacing w:before="0"/>
        <w:jc w:val="center"/>
        <w:rPr>
          <w:rFonts w:cs="Arial"/>
          <w:b/>
          <w:bCs/>
          <w:lang w:val="en-GB"/>
        </w:rPr>
      </w:pPr>
    </w:p>
    <w:p w14:paraId="68165939" w14:textId="77777777" w:rsidR="004519A3" w:rsidRPr="004519A3" w:rsidRDefault="004519A3" w:rsidP="004519A3">
      <w:pPr>
        <w:spacing w:before="0"/>
        <w:jc w:val="center"/>
        <w:rPr>
          <w:rFonts w:cs="Arial"/>
          <w:b/>
          <w:bCs/>
          <w:lang w:val="en-GB"/>
        </w:rPr>
      </w:pPr>
    </w:p>
    <w:p w14:paraId="3C69C23D" w14:textId="77777777" w:rsidR="004519A3" w:rsidRPr="004519A3" w:rsidRDefault="004519A3" w:rsidP="004519A3">
      <w:pPr>
        <w:spacing w:before="0"/>
        <w:jc w:val="center"/>
        <w:rPr>
          <w:rFonts w:cs="Arial"/>
          <w:b/>
          <w:bCs/>
          <w:lang w:val="en-GB"/>
        </w:rPr>
      </w:pPr>
    </w:p>
    <w:p w14:paraId="404D7288" w14:textId="77777777" w:rsidR="004519A3" w:rsidRPr="004519A3" w:rsidRDefault="004519A3" w:rsidP="004519A3">
      <w:pPr>
        <w:spacing w:before="0"/>
        <w:jc w:val="center"/>
        <w:rPr>
          <w:rFonts w:cs="Arial"/>
          <w:b/>
          <w:bCs/>
          <w:lang w:val="en-GB"/>
        </w:rPr>
      </w:pPr>
    </w:p>
    <w:p w14:paraId="762F931C" w14:textId="77777777" w:rsidR="00577F15" w:rsidRPr="00721C11" w:rsidRDefault="00577F15" w:rsidP="00854D35">
      <w:pPr>
        <w:spacing w:before="0"/>
        <w:jc w:val="center"/>
        <w:rPr>
          <w:rFonts w:cs="Arial"/>
          <w:b/>
          <w:bCs/>
          <w:lang w:val="en-GB"/>
        </w:rPr>
      </w:pPr>
      <w:r w:rsidRPr="00721C11">
        <w:rPr>
          <w:rFonts w:cs="Arial"/>
          <w:b/>
          <w:bCs/>
          <w:lang w:val="en-GB"/>
        </w:rPr>
        <w:t>EXHIBIT XI</w:t>
      </w:r>
      <w:r w:rsidR="00DD7DA7" w:rsidRPr="00721C11">
        <w:rPr>
          <w:rFonts w:cs="Arial"/>
          <w:b/>
          <w:bCs/>
          <w:lang w:val="en-GB"/>
        </w:rPr>
        <w:t>I</w:t>
      </w:r>
    </w:p>
    <w:p w14:paraId="1A2B92DC" w14:textId="77777777" w:rsidR="00577F15" w:rsidRPr="002B7942" w:rsidRDefault="00577F15" w:rsidP="00854D35">
      <w:pPr>
        <w:spacing w:before="0"/>
        <w:jc w:val="center"/>
        <w:rPr>
          <w:rFonts w:cs="Arial"/>
          <w:b/>
          <w:bCs/>
          <w:lang w:val="en-US"/>
        </w:rPr>
      </w:pPr>
    </w:p>
    <w:p w14:paraId="14ADB4CD" w14:textId="77777777" w:rsidR="00577F15" w:rsidRPr="002B7942" w:rsidRDefault="00577F15" w:rsidP="00854D35">
      <w:pPr>
        <w:spacing w:before="0"/>
        <w:jc w:val="center"/>
        <w:rPr>
          <w:rFonts w:cs="Arial"/>
          <w:b/>
          <w:bCs/>
          <w:lang w:val="en-US"/>
        </w:rPr>
      </w:pPr>
    </w:p>
    <w:p w14:paraId="66FDDCC2" w14:textId="77777777" w:rsidR="00577F15" w:rsidRPr="002B7942" w:rsidRDefault="00577F15" w:rsidP="00854D35">
      <w:pPr>
        <w:spacing w:before="0"/>
        <w:jc w:val="center"/>
        <w:rPr>
          <w:rFonts w:cs="Arial"/>
          <w:b/>
          <w:bCs/>
          <w:lang w:val="en-US"/>
        </w:rPr>
      </w:pPr>
      <w:r w:rsidRPr="002B7942">
        <w:rPr>
          <w:rFonts w:cs="Arial"/>
          <w:b/>
          <w:lang w:val="en-US"/>
        </w:rPr>
        <w:t>INSURANCE REQUIREMENTS</w:t>
      </w:r>
    </w:p>
    <w:p w14:paraId="340AF8D6" w14:textId="77777777" w:rsidR="00577F15" w:rsidRPr="002B7942" w:rsidRDefault="00577F15" w:rsidP="00854D35">
      <w:pPr>
        <w:spacing w:before="0"/>
        <w:jc w:val="center"/>
        <w:rPr>
          <w:rFonts w:cs="Arial"/>
          <w:b/>
          <w:bCs/>
          <w:lang w:val="en-US"/>
        </w:rPr>
      </w:pPr>
    </w:p>
    <w:p w14:paraId="23F8F4F9" w14:textId="77777777" w:rsidR="00577F15" w:rsidRPr="002B7942" w:rsidRDefault="00577F15" w:rsidP="00854D35">
      <w:pPr>
        <w:spacing w:before="0"/>
        <w:jc w:val="center"/>
        <w:rPr>
          <w:rFonts w:cs="Arial"/>
          <w:b/>
          <w:bCs/>
          <w:lang w:val="en-US"/>
        </w:rPr>
      </w:pPr>
    </w:p>
    <w:p w14:paraId="20DAB606" w14:textId="18849EF3" w:rsidR="00854D35" w:rsidRPr="002B7942" w:rsidRDefault="00854D35" w:rsidP="00854D35">
      <w:pPr>
        <w:spacing w:before="0"/>
        <w:jc w:val="center"/>
        <w:rPr>
          <w:rFonts w:cs="Arial"/>
          <w:b/>
          <w:lang w:val="en-US"/>
        </w:rPr>
      </w:pPr>
      <w:r w:rsidRPr="002B7942">
        <w:rPr>
          <w:rFonts w:cs="Arial"/>
          <w:b/>
          <w:lang w:val="en-US"/>
        </w:rPr>
        <w:t xml:space="preserve">FPSO PETROBRAS </w:t>
      </w:r>
      <w:r w:rsidR="00BB7133">
        <w:rPr>
          <w:rFonts w:cs="Arial"/>
          <w:b/>
          <w:lang w:val="en-US"/>
        </w:rPr>
        <w:t>91</w:t>
      </w:r>
      <w:r w:rsidR="00DA36A7" w:rsidRPr="002B7942">
        <w:rPr>
          <w:rFonts w:cs="Arial"/>
          <w:b/>
          <w:lang w:val="en-US"/>
        </w:rPr>
        <w:t xml:space="preserve"> </w:t>
      </w:r>
      <w:r w:rsidR="00CF0BC3" w:rsidRPr="002B7942">
        <w:rPr>
          <w:rFonts w:cs="Arial"/>
          <w:b/>
          <w:lang w:val="en-US"/>
        </w:rPr>
        <w:t>(P-</w:t>
      </w:r>
      <w:r w:rsidR="00BB7133">
        <w:rPr>
          <w:rFonts w:cs="Arial"/>
          <w:b/>
          <w:lang w:val="en-US"/>
        </w:rPr>
        <w:t>91</w:t>
      </w:r>
      <w:r w:rsidR="00CF0BC3" w:rsidRPr="002B7942">
        <w:rPr>
          <w:rFonts w:cs="Arial"/>
          <w:b/>
          <w:lang w:val="en-US"/>
        </w:rPr>
        <w:t>)</w:t>
      </w:r>
    </w:p>
    <w:p w14:paraId="0185B530" w14:textId="77777777" w:rsidR="00854D35" w:rsidRPr="002B7942" w:rsidRDefault="00854D35" w:rsidP="00854D35">
      <w:pPr>
        <w:spacing w:before="0"/>
        <w:jc w:val="center"/>
        <w:rPr>
          <w:rFonts w:cs="Arial"/>
          <w:b/>
          <w:lang w:val="en-US"/>
        </w:rPr>
      </w:pPr>
    </w:p>
    <w:p w14:paraId="01849DFA" w14:textId="77777777" w:rsidR="00577F15" w:rsidRPr="002B7942" w:rsidRDefault="00577F15" w:rsidP="00854D35">
      <w:pPr>
        <w:spacing w:before="120" w:after="120"/>
        <w:jc w:val="both"/>
        <w:rPr>
          <w:rFonts w:cs="Arial"/>
          <w:lang w:val="en-US"/>
        </w:rPr>
      </w:pPr>
    </w:p>
    <w:p w14:paraId="57AD2163" w14:textId="77777777" w:rsidR="004365FB" w:rsidRPr="002B7942" w:rsidRDefault="004365FB" w:rsidP="00854D35">
      <w:pPr>
        <w:spacing w:before="120" w:after="120"/>
        <w:jc w:val="both"/>
        <w:rPr>
          <w:rFonts w:cs="Arial"/>
          <w:lang w:val="en-US"/>
        </w:rPr>
      </w:pPr>
    </w:p>
    <w:p w14:paraId="24695A41" w14:textId="77777777" w:rsidR="00BB7133" w:rsidRPr="00886212" w:rsidRDefault="00BB7133" w:rsidP="00BB7133">
      <w:pPr>
        <w:spacing w:before="120" w:after="120"/>
        <w:rPr>
          <w:b/>
          <w:sz w:val="20"/>
          <w:szCs w:val="20"/>
          <w:lang w:val="en-US"/>
        </w:rPr>
      </w:pPr>
      <w:r w:rsidRPr="00886212">
        <w:rPr>
          <w:b/>
          <w:sz w:val="20"/>
          <w:szCs w:val="20"/>
          <w:lang w:val="en-US"/>
        </w:rPr>
        <w:t>************Revision Control*************</w:t>
      </w:r>
    </w:p>
    <w:p w14:paraId="78B83C30" w14:textId="77777777" w:rsidR="00BB7133" w:rsidRPr="00886212" w:rsidRDefault="00BB7133" w:rsidP="00BB7133">
      <w:pPr>
        <w:spacing w:before="120" w:after="120"/>
        <w:rPr>
          <w:b/>
          <w:sz w:val="20"/>
          <w:szCs w:val="20"/>
          <w:lang w:val="en-US"/>
        </w:rPr>
      </w:pPr>
      <w:r w:rsidRPr="00886212">
        <w:rPr>
          <w:b/>
          <w:sz w:val="20"/>
          <w:szCs w:val="20"/>
          <w:lang w:val="en-US"/>
        </w:rPr>
        <w:t>Rev 0: Bid original version</w:t>
      </w:r>
    </w:p>
    <w:p w14:paraId="2435D5E7" w14:textId="77777777" w:rsidR="001E7916" w:rsidRPr="002B7942" w:rsidRDefault="001E7916" w:rsidP="00BB2427">
      <w:pPr>
        <w:pStyle w:val="NormalWeb"/>
        <w:spacing w:before="60" w:beforeAutospacing="0" w:afterLines="60" w:after="144" w:afterAutospacing="0"/>
        <w:jc w:val="both"/>
        <w:rPr>
          <w:rFonts w:ascii="Bahnschrift SemiBold" w:eastAsia="Arial" w:hAnsi="Bahnschrift SemiBold"/>
          <w:b/>
          <w:bCs/>
          <w:sz w:val="20"/>
          <w:szCs w:val="20"/>
          <w:lang w:val="en-US"/>
        </w:rPr>
      </w:pPr>
    </w:p>
    <w:p w14:paraId="6C803E4C" w14:textId="77777777" w:rsidR="00BB2427" w:rsidRPr="002B7942" w:rsidRDefault="00BB2427" w:rsidP="00854D35">
      <w:pPr>
        <w:spacing w:before="120" w:after="120"/>
        <w:jc w:val="both"/>
        <w:rPr>
          <w:rFonts w:cs="Arial"/>
          <w:lang w:val="en-US"/>
        </w:rPr>
      </w:pPr>
    </w:p>
    <w:p w14:paraId="27E6C6B1" w14:textId="77777777" w:rsidR="004365FB" w:rsidRPr="002B7942" w:rsidRDefault="004365FB" w:rsidP="00854D35">
      <w:pPr>
        <w:spacing w:before="120" w:after="120"/>
        <w:jc w:val="both"/>
        <w:rPr>
          <w:rFonts w:cs="Arial"/>
          <w:lang w:val="en-US"/>
        </w:rPr>
      </w:pPr>
    </w:p>
    <w:p w14:paraId="5B6138DC" w14:textId="77777777" w:rsidR="004365FB" w:rsidRPr="002B7942" w:rsidRDefault="004365FB" w:rsidP="00854D35">
      <w:pPr>
        <w:spacing w:before="120" w:after="120"/>
        <w:jc w:val="both"/>
        <w:rPr>
          <w:rFonts w:cs="Arial"/>
          <w:lang w:val="en-US"/>
        </w:rPr>
      </w:pPr>
    </w:p>
    <w:p w14:paraId="3BCF317B" w14:textId="77777777" w:rsidR="004365FB" w:rsidRPr="002B7942" w:rsidRDefault="004365FB" w:rsidP="00854D35">
      <w:pPr>
        <w:spacing w:before="120" w:after="120"/>
        <w:jc w:val="both"/>
        <w:rPr>
          <w:rFonts w:cs="Arial"/>
          <w:lang w:val="en-US"/>
        </w:rPr>
      </w:pPr>
    </w:p>
    <w:p w14:paraId="16AA0232" w14:textId="77777777" w:rsidR="004365FB" w:rsidRPr="002B7942" w:rsidRDefault="004365FB" w:rsidP="00854D35">
      <w:pPr>
        <w:spacing w:before="120" w:after="120"/>
        <w:jc w:val="both"/>
        <w:rPr>
          <w:rFonts w:cs="Arial"/>
          <w:lang w:val="en-US"/>
        </w:rPr>
      </w:pPr>
    </w:p>
    <w:p w14:paraId="1322E8B8" w14:textId="77777777" w:rsidR="004519A3" w:rsidRPr="004519A3" w:rsidRDefault="004519A3" w:rsidP="004519A3">
      <w:pPr>
        <w:tabs>
          <w:tab w:val="left" w:pos="6075"/>
        </w:tabs>
        <w:spacing w:before="100" w:beforeAutospacing="1" w:after="240"/>
        <w:jc w:val="center"/>
        <w:rPr>
          <w:rFonts w:eastAsia="Calibri" w:cs="Arial"/>
          <w:b/>
          <w:bCs/>
          <w:lang w:val="en-US" w:eastAsia="en-US"/>
        </w:rPr>
      </w:pPr>
      <w:r>
        <w:rPr>
          <w:rFonts w:eastAsia="Arial" w:cs="Arial"/>
          <w:b/>
          <w:bCs/>
          <w:lang w:val="en-US"/>
        </w:rPr>
        <w:br w:type="page"/>
      </w:r>
      <w:r w:rsidRPr="004519A3">
        <w:rPr>
          <w:rFonts w:eastAsia="Calibri" w:cs="Arial"/>
          <w:b/>
          <w:bCs/>
          <w:lang w:val="en-US" w:eastAsia="en-US"/>
        </w:rPr>
        <w:lastRenderedPageBreak/>
        <w:t>SUMMARY</w:t>
      </w:r>
    </w:p>
    <w:p w14:paraId="3D46A94B" w14:textId="77777777" w:rsidR="004519A3" w:rsidRPr="004519A3" w:rsidRDefault="004519A3" w:rsidP="004519A3">
      <w:pPr>
        <w:tabs>
          <w:tab w:val="left" w:pos="6075"/>
        </w:tabs>
        <w:spacing w:before="100" w:beforeAutospacing="1" w:after="240" w:line="259" w:lineRule="auto"/>
        <w:jc w:val="center"/>
        <w:rPr>
          <w:rFonts w:eastAsia="Calibri" w:cs="Arial"/>
          <w:b/>
          <w:bCs/>
          <w:lang w:val="en-US" w:eastAsia="en-US"/>
        </w:rPr>
      </w:pPr>
    </w:p>
    <w:p w14:paraId="5AD982E7" w14:textId="4AB3A4AE" w:rsidR="00D2260A" w:rsidRPr="0099099C" w:rsidRDefault="004519A3">
      <w:pPr>
        <w:pStyle w:val="Sumrio1"/>
        <w:tabs>
          <w:tab w:val="left" w:pos="405"/>
          <w:tab w:val="right" w:leader="dot" w:pos="8494"/>
        </w:tabs>
        <w:rPr>
          <w:rFonts w:ascii="Arial" w:hAnsi="Arial" w:cs="Arial"/>
          <w:b w:val="0"/>
          <w:bCs w:val="0"/>
          <w:caps w:val="0"/>
          <w:noProof/>
          <w:kern w:val="2"/>
          <w:sz w:val="24"/>
          <w:szCs w:val="24"/>
          <w:u w:val="none"/>
        </w:rPr>
      </w:pPr>
      <w:r w:rsidRPr="00D2260A">
        <w:rPr>
          <w:rFonts w:ascii="Arial" w:eastAsia="Yu Mincho" w:hAnsi="Arial" w:cs="Arial"/>
          <w:sz w:val="24"/>
          <w:szCs w:val="24"/>
          <w:u w:val="none"/>
        </w:rPr>
        <w:fldChar w:fldCharType="begin"/>
      </w:r>
      <w:r w:rsidRPr="00D2260A">
        <w:rPr>
          <w:rFonts w:ascii="Arial" w:eastAsia="Yu Mincho" w:hAnsi="Arial" w:cs="Arial"/>
          <w:sz w:val="24"/>
          <w:szCs w:val="24"/>
          <w:u w:val="none"/>
        </w:rPr>
        <w:instrText xml:space="preserve"> TOC \o "1-1" \h \z \u </w:instrText>
      </w:r>
      <w:r w:rsidRPr="00D2260A">
        <w:rPr>
          <w:rFonts w:ascii="Arial" w:eastAsia="Yu Mincho" w:hAnsi="Arial" w:cs="Arial"/>
          <w:sz w:val="24"/>
          <w:szCs w:val="24"/>
          <w:u w:val="none"/>
        </w:rPr>
        <w:fldChar w:fldCharType="separate"/>
      </w:r>
      <w:hyperlink w:anchor="_Toc179496577" w:history="1">
        <w:r w:rsidR="00D2260A" w:rsidRPr="00D2260A">
          <w:rPr>
            <w:rStyle w:val="Hyperlink"/>
            <w:rFonts w:ascii="Arial" w:hAnsi="Arial" w:cs="Arial"/>
            <w:noProof/>
            <w:sz w:val="24"/>
            <w:szCs w:val="24"/>
          </w:rPr>
          <w:t>1.</w:t>
        </w:r>
        <w:r w:rsidR="00D2260A" w:rsidRPr="0099099C">
          <w:rPr>
            <w:rFonts w:ascii="Arial" w:hAnsi="Arial" w:cs="Arial"/>
            <w:b w:val="0"/>
            <w:bCs w:val="0"/>
            <w:caps w:val="0"/>
            <w:noProof/>
            <w:kern w:val="2"/>
            <w:sz w:val="24"/>
            <w:szCs w:val="24"/>
            <w:u w:val="none"/>
          </w:rPr>
          <w:tab/>
        </w:r>
        <w:r w:rsidR="00D2260A" w:rsidRPr="00D2260A">
          <w:rPr>
            <w:rStyle w:val="Hyperlink"/>
            <w:rFonts w:ascii="Arial" w:hAnsi="Arial" w:cs="Arial"/>
            <w:noProof/>
            <w:sz w:val="24"/>
            <w:szCs w:val="24"/>
          </w:rPr>
          <w:t>GENERAL</w:t>
        </w:r>
        <w:r w:rsidR="00D2260A" w:rsidRPr="00D2260A">
          <w:rPr>
            <w:rFonts w:ascii="Arial" w:hAnsi="Arial" w:cs="Arial"/>
            <w:noProof/>
            <w:webHidden/>
            <w:sz w:val="24"/>
            <w:szCs w:val="24"/>
          </w:rPr>
          <w:tab/>
        </w:r>
        <w:r w:rsidR="00D2260A" w:rsidRPr="00D2260A">
          <w:rPr>
            <w:rFonts w:ascii="Arial" w:hAnsi="Arial" w:cs="Arial"/>
            <w:noProof/>
            <w:webHidden/>
            <w:sz w:val="24"/>
            <w:szCs w:val="24"/>
          </w:rPr>
          <w:fldChar w:fldCharType="begin"/>
        </w:r>
        <w:r w:rsidR="00D2260A" w:rsidRPr="00D2260A">
          <w:rPr>
            <w:rFonts w:ascii="Arial" w:hAnsi="Arial" w:cs="Arial"/>
            <w:noProof/>
            <w:webHidden/>
            <w:sz w:val="24"/>
            <w:szCs w:val="24"/>
          </w:rPr>
          <w:instrText xml:space="preserve"> PAGEREF _Toc179496577 \h </w:instrText>
        </w:r>
        <w:r w:rsidR="00D2260A" w:rsidRPr="00D2260A">
          <w:rPr>
            <w:rFonts w:ascii="Arial" w:hAnsi="Arial" w:cs="Arial"/>
            <w:noProof/>
            <w:webHidden/>
            <w:sz w:val="24"/>
            <w:szCs w:val="24"/>
          </w:rPr>
        </w:r>
        <w:r w:rsidR="00D2260A" w:rsidRPr="00D2260A">
          <w:rPr>
            <w:rFonts w:ascii="Arial" w:hAnsi="Arial" w:cs="Arial"/>
            <w:noProof/>
            <w:webHidden/>
            <w:sz w:val="24"/>
            <w:szCs w:val="24"/>
          </w:rPr>
          <w:fldChar w:fldCharType="separate"/>
        </w:r>
        <w:r w:rsidR="00BB7133">
          <w:rPr>
            <w:rFonts w:ascii="Arial" w:hAnsi="Arial" w:cs="Arial"/>
            <w:noProof/>
            <w:webHidden/>
            <w:sz w:val="24"/>
            <w:szCs w:val="24"/>
          </w:rPr>
          <w:t>3</w:t>
        </w:r>
        <w:r w:rsidR="00D2260A" w:rsidRPr="00D2260A">
          <w:rPr>
            <w:rFonts w:ascii="Arial" w:hAnsi="Arial" w:cs="Arial"/>
            <w:noProof/>
            <w:webHidden/>
            <w:sz w:val="24"/>
            <w:szCs w:val="24"/>
          </w:rPr>
          <w:fldChar w:fldCharType="end"/>
        </w:r>
      </w:hyperlink>
    </w:p>
    <w:p w14:paraId="657FBDE5" w14:textId="3EAE9494" w:rsidR="00D2260A" w:rsidRPr="0099099C" w:rsidRDefault="00D2260A">
      <w:pPr>
        <w:pStyle w:val="Sumrio1"/>
        <w:tabs>
          <w:tab w:val="left" w:pos="405"/>
          <w:tab w:val="right" w:leader="dot" w:pos="8494"/>
        </w:tabs>
        <w:rPr>
          <w:rFonts w:ascii="Arial" w:hAnsi="Arial" w:cs="Arial"/>
          <w:b w:val="0"/>
          <w:bCs w:val="0"/>
          <w:caps w:val="0"/>
          <w:noProof/>
          <w:kern w:val="2"/>
          <w:sz w:val="24"/>
          <w:szCs w:val="24"/>
          <w:u w:val="none"/>
        </w:rPr>
      </w:pPr>
      <w:hyperlink w:anchor="_Toc179496578" w:history="1">
        <w:r w:rsidRPr="00D2260A">
          <w:rPr>
            <w:rStyle w:val="Hyperlink"/>
            <w:rFonts w:ascii="Arial" w:hAnsi="Arial" w:cs="Arial"/>
            <w:noProof/>
            <w:sz w:val="24"/>
            <w:szCs w:val="24"/>
          </w:rPr>
          <w:t>2.</w:t>
        </w:r>
        <w:r w:rsidRPr="0099099C">
          <w:rPr>
            <w:rFonts w:ascii="Arial" w:hAnsi="Arial" w:cs="Arial"/>
            <w:b w:val="0"/>
            <w:bCs w:val="0"/>
            <w:caps w:val="0"/>
            <w:noProof/>
            <w:kern w:val="2"/>
            <w:sz w:val="24"/>
            <w:szCs w:val="24"/>
            <w:u w:val="none"/>
          </w:rPr>
          <w:tab/>
        </w:r>
        <w:r w:rsidRPr="00D2260A">
          <w:rPr>
            <w:rStyle w:val="Hyperlink"/>
            <w:rFonts w:ascii="Arial" w:hAnsi="Arial" w:cs="Arial"/>
            <w:noProof/>
            <w:sz w:val="24"/>
            <w:szCs w:val="24"/>
          </w:rPr>
          <w:t>SELLER’S INSURANCE</w:t>
        </w:r>
        <w:r w:rsidRPr="00D2260A">
          <w:rPr>
            <w:rFonts w:ascii="Arial" w:hAnsi="Arial" w:cs="Arial"/>
            <w:noProof/>
            <w:webHidden/>
            <w:sz w:val="24"/>
            <w:szCs w:val="24"/>
          </w:rPr>
          <w:tab/>
        </w:r>
        <w:r w:rsidRPr="00D2260A">
          <w:rPr>
            <w:rFonts w:ascii="Arial" w:hAnsi="Arial" w:cs="Arial"/>
            <w:noProof/>
            <w:webHidden/>
            <w:sz w:val="24"/>
            <w:szCs w:val="24"/>
          </w:rPr>
          <w:fldChar w:fldCharType="begin"/>
        </w:r>
        <w:r w:rsidRPr="00D2260A">
          <w:rPr>
            <w:rFonts w:ascii="Arial" w:hAnsi="Arial" w:cs="Arial"/>
            <w:noProof/>
            <w:webHidden/>
            <w:sz w:val="24"/>
            <w:szCs w:val="24"/>
          </w:rPr>
          <w:instrText xml:space="preserve"> PAGEREF _Toc179496578 \h </w:instrText>
        </w:r>
        <w:r w:rsidRPr="00D2260A">
          <w:rPr>
            <w:rFonts w:ascii="Arial" w:hAnsi="Arial" w:cs="Arial"/>
            <w:noProof/>
            <w:webHidden/>
            <w:sz w:val="24"/>
            <w:szCs w:val="24"/>
          </w:rPr>
        </w:r>
        <w:r w:rsidRPr="00D2260A">
          <w:rPr>
            <w:rFonts w:ascii="Arial" w:hAnsi="Arial" w:cs="Arial"/>
            <w:noProof/>
            <w:webHidden/>
            <w:sz w:val="24"/>
            <w:szCs w:val="24"/>
          </w:rPr>
          <w:fldChar w:fldCharType="separate"/>
        </w:r>
        <w:r w:rsidR="00BB7133">
          <w:rPr>
            <w:rFonts w:ascii="Arial" w:hAnsi="Arial" w:cs="Arial"/>
            <w:noProof/>
            <w:webHidden/>
            <w:sz w:val="24"/>
            <w:szCs w:val="24"/>
          </w:rPr>
          <w:t>5</w:t>
        </w:r>
        <w:r w:rsidRPr="00D2260A">
          <w:rPr>
            <w:rFonts w:ascii="Arial" w:hAnsi="Arial" w:cs="Arial"/>
            <w:noProof/>
            <w:webHidden/>
            <w:sz w:val="24"/>
            <w:szCs w:val="24"/>
          </w:rPr>
          <w:fldChar w:fldCharType="end"/>
        </w:r>
      </w:hyperlink>
    </w:p>
    <w:p w14:paraId="70A4DC32" w14:textId="72033A29" w:rsidR="00D2260A" w:rsidRPr="0099099C" w:rsidRDefault="00D2260A">
      <w:pPr>
        <w:pStyle w:val="Sumrio1"/>
        <w:tabs>
          <w:tab w:val="left" w:pos="405"/>
          <w:tab w:val="right" w:leader="dot" w:pos="8494"/>
        </w:tabs>
        <w:rPr>
          <w:rFonts w:ascii="Arial" w:hAnsi="Arial" w:cs="Arial"/>
          <w:b w:val="0"/>
          <w:bCs w:val="0"/>
          <w:caps w:val="0"/>
          <w:noProof/>
          <w:kern w:val="2"/>
          <w:sz w:val="24"/>
          <w:szCs w:val="24"/>
          <w:u w:val="none"/>
        </w:rPr>
      </w:pPr>
      <w:hyperlink w:anchor="_Toc179496579" w:history="1">
        <w:r w:rsidRPr="00D2260A">
          <w:rPr>
            <w:rStyle w:val="Hyperlink"/>
            <w:rFonts w:ascii="Arial" w:hAnsi="Arial" w:cs="Arial"/>
            <w:noProof/>
            <w:sz w:val="24"/>
            <w:szCs w:val="24"/>
          </w:rPr>
          <w:t>3.</w:t>
        </w:r>
        <w:r w:rsidRPr="0099099C">
          <w:rPr>
            <w:rFonts w:ascii="Arial" w:hAnsi="Arial" w:cs="Arial"/>
            <w:b w:val="0"/>
            <w:bCs w:val="0"/>
            <w:caps w:val="0"/>
            <w:noProof/>
            <w:kern w:val="2"/>
            <w:sz w:val="24"/>
            <w:szCs w:val="24"/>
            <w:u w:val="none"/>
          </w:rPr>
          <w:tab/>
        </w:r>
        <w:r w:rsidRPr="00D2260A">
          <w:rPr>
            <w:rStyle w:val="Hyperlink"/>
            <w:rFonts w:ascii="Arial" w:hAnsi="Arial" w:cs="Arial"/>
            <w:noProof/>
            <w:sz w:val="24"/>
            <w:szCs w:val="24"/>
          </w:rPr>
          <w:t>BUYER’S INSURANCES</w:t>
        </w:r>
        <w:r w:rsidRPr="00D2260A">
          <w:rPr>
            <w:rFonts w:ascii="Arial" w:hAnsi="Arial" w:cs="Arial"/>
            <w:noProof/>
            <w:webHidden/>
            <w:sz w:val="24"/>
            <w:szCs w:val="24"/>
          </w:rPr>
          <w:tab/>
        </w:r>
        <w:r w:rsidRPr="00D2260A">
          <w:rPr>
            <w:rFonts w:ascii="Arial" w:hAnsi="Arial" w:cs="Arial"/>
            <w:noProof/>
            <w:webHidden/>
            <w:sz w:val="24"/>
            <w:szCs w:val="24"/>
          </w:rPr>
          <w:fldChar w:fldCharType="begin"/>
        </w:r>
        <w:r w:rsidRPr="00D2260A">
          <w:rPr>
            <w:rFonts w:ascii="Arial" w:hAnsi="Arial" w:cs="Arial"/>
            <w:noProof/>
            <w:webHidden/>
            <w:sz w:val="24"/>
            <w:szCs w:val="24"/>
          </w:rPr>
          <w:instrText xml:space="preserve"> PAGEREF _Toc179496579 \h </w:instrText>
        </w:r>
        <w:r w:rsidRPr="00D2260A">
          <w:rPr>
            <w:rFonts w:ascii="Arial" w:hAnsi="Arial" w:cs="Arial"/>
            <w:noProof/>
            <w:webHidden/>
            <w:sz w:val="24"/>
            <w:szCs w:val="24"/>
          </w:rPr>
        </w:r>
        <w:r w:rsidRPr="00D2260A">
          <w:rPr>
            <w:rFonts w:ascii="Arial" w:hAnsi="Arial" w:cs="Arial"/>
            <w:noProof/>
            <w:webHidden/>
            <w:sz w:val="24"/>
            <w:szCs w:val="24"/>
          </w:rPr>
          <w:fldChar w:fldCharType="separate"/>
        </w:r>
        <w:r w:rsidR="00BB7133">
          <w:rPr>
            <w:rFonts w:ascii="Arial" w:hAnsi="Arial" w:cs="Arial"/>
            <w:noProof/>
            <w:webHidden/>
            <w:sz w:val="24"/>
            <w:szCs w:val="24"/>
          </w:rPr>
          <w:t>7</w:t>
        </w:r>
        <w:r w:rsidRPr="00D2260A">
          <w:rPr>
            <w:rFonts w:ascii="Arial" w:hAnsi="Arial" w:cs="Arial"/>
            <w:noProof/>
            <w:webHidden/>
            <w:sz w:val="24"/>
            <w:szCs w:val="24"/>
          </w:rPr>
          <w:fldChar w:fldCharType="end"/>
        </w:r>
      </w:hyperlink>
    </w:p>
    <w:p w14:paraId="7FA05A7A" w14:textId="78B952EE" w:rsidR="00D2260A" w:rsidRPr="0099099C" w:rsidRDefault="00D2260A">
      <w:pPr>
        <w:pStyle w:val="Sumrio1"/>
        <w:tabs>
          <w:tab w:val="left" w:pos="350"/>
          <w:tab w:val="right" w:leader="dot" w:pos="8494"/>
        </w:tabs>
        <w:rPr>
          <w:rFonts w:ascii="Arial" w:hAnsi="Arial" w:cs="Arial"/>
          <w:b w:val="0"/>
          <w:bCs w:val="0"/>
          <w:caps w:val="0"/>
          <w:noProof/>
          <w:kern w:val="2"/>
          <w:sz w:val="24"/>
          <w:szCs w:val="24"/>
          <w:u w:val="none"/>
        </w:rPr>
      </w:pPr>
      <w:hyperlink w:anchor="_Toc179496580" w:history="1">
        <w:r w:rsidRPr="00D2260A">
          <w:rPr>
            <w:rStyle w:val="Hyperlink"/>
            <w:rFonts w:ascii="Arial" w:hAnsi="Arial" w:cs="Arial"/>
            <w:noProof/>
            <w:kern w:val="32"/>
            <w:sz w:val="24"/>
            <w:szCs w:val="24"/>
          </w:rPr>
          <w:t>4</w:t>
        </w:r>
        <w:r w:rsidRPr="0099099C">
          <w:rPr>
            <w:rFonts w:ascii="Arial" w:hAnsi="Arial" w:cs="Arial"/>
            <w:b w:val="0"/>
            <w:bCs w:val="0"/>
            <w:caps w:val="0"/>
            <w:noProof/>
            <w:kern w:val="2"/>
            <w:sz w:val="24"/>
            <w:szCs w:val="24"/>
            <w:u w:val="none"/>
          </w:rPr>
          <w:tab/>
        </w:r>
        <w:r w:rsidRPr="00D2260A">
          <w:rPr>
            <w:rStyle w:val="Hyperlink"/>
            <w:rFonts w:ascii="Arial" w:hAnsi="Arial" w:cs="Arial"/>
            <w:noProof/>
            <w:kern w:val="32"/>
            <w:sz w:val="24"/>
            <w:szCs w:val="24"/>
          </w:rPr>
          <w:t>APPENDIX I</w:t>
        </w:r>
        <w:r w:rsidRPr="00D2260A">
          <w:rPr>
            <w:rFonts w:ascii="Arial" w:hAnsi="Arial" w:cs="Arial"/>
            <w:noProof/>
            <w:webHidden/>
            <w:sz w:val="24"/>
            <w:szCs w:val="24"/>
          </w:rPr>
          <w:tab/>
        </w:r>
        <w:r w:rsidRPr="00D2260A">
          <w:rPr>
            <w:rFonts w:ascii="Arial" w:hAnsi="Arial" w:cs="Arial"/>
            <w:noProof/>
            <w:webHidden/>
            <w:sz w:val="24"/>
            <w:szCs w:val="24"/>
          </w:rPr>
          <w:fldChar w:fldCharType="begin"/>
        </w:r>
        <w:r w:rsidRPr="00D2260A">
          <w:rPr>
            <w:rFonts w:ascii="Arial" w:hAnsi="Arial" w:cs="Arial"/>
            <w:noProof/>
            <w:webHidden/>
            <w:sz w:val="24"/>
            <w:szCs w:val="24"/>
          </w:rPr>
          <w:instrText xml:space="preserve"> PAGEREF _Toc179496580 \h </w:instrText>
        </w:r>
        <w:r w:rsidRPr="00D2260A">
          <w:rPr>
            <w:rFonts w:ascii="Arial" w:hAnsi="Arial" w:cs="Arial"/>
            <w:noProof/>
            <w:webHidden/>
            <w:sz w:val="24"/>
            <w:szCs w:val="24"/>
          </w:rPr>
        </w:r>
        <w:r w:rsidRPr="00D2260A">
          <w:rPr>
            <w:rFonts w:ascii="Arial" w:hAnsi="Arial" w:cs="Arial"/>
            <w:noProof/>
            <w:webHidden/>
            <w:sz w:val="24"/>
            <w:szCs w:val="24"/>
          </w:rPr>
          <w:fldChar w:fldCharType="separate"/>
        </w:r>
        <w:r w:rsidR="00BB7133">
          <w:rPr>
            <w:rFonts w:ascii="Arial" w:hAnsi="Arial" w:cs="Arial"/>
            <w:noProof/>
            <w:webHidden/>
            <w:sz w:val="24"/>
            <w:szCs w:val="24"/>
          </w:rPr>
          <w:t>14</w:t>
        </w:r>
        <w:r w:rsidRPr="00D2260A">
          <w:rPr>
            <w:rFonts w:ascii="Arial" w:hAnsi="Arial" w:cs="Arial"/>
            <w:noProof/>
            <w:webHidden/>
            <w:sz w:val="24"/>
            <w:szCs w:val="24"/>
          </w:rPr>
          <w:fldChar w:fldCharType="end"/>
        </w:r>
      </w:hyperlink>
    </w:p>
    <w:p w14:paraId="45BC0550" w14:textId="77777777" w:rsidR="004519A3" w:rsidRPr="004519A3" w:rsidRDefault="004519A3" w:rsidP="004519A3">
      <w:pPr>
        <w:spacing w:before="100" w:beforeAutospacing="1" w:after="240"/>
        <w:jc w:val="both"/>
        <w:rPr>
          <w:rFonts w:eastAsia="Calibri" w:cs="Arial"/>
          <w:b/>
          <w:bCs/>
          <w:lang w:val="en-US" w:eastAsia="en-US"/>
        </w:rPr>
      </w:pPr>
      <w:r w:rsidRPr="00D2260A">
        <w:rPr>
          <w:rFonts w:eastAsia="Calibri" w:cs="Arial"/>
          <w:b/>
          <w:lang w:eastAsia="en-US"/>
        </w:rPr>
        <w:fldChar w:fldCharType="end"/>
      </w:r>
    </w:p>
    <w:p w14:paraId="5924A5CD" w14:textId="77777777" w:rsidR="004519A3" w:rsidRPr="004519A3" w:rsidRDefault="004519A3" w:rsidP="004519A3">
      <w:pPr>
        <w:spacing w:before="0" w:after="240"/>
        <w:jc w:val="both"/>
        <w:rPr>
          <w:rFonts w:eastAsia="Calibri" w:cs="Arial"/>
          <w:b/>
          <w:bCs/>
          <w:lang w:val="en-US" w:eastAsia="en-US"/>
        </w:rPr>
      </w:pPr>
    </w:p>
    <w:p w14:paraId="6DF99E35" w14:textId="77777777" w:rsidR="003E5B44" w:rsidRDefault="004519A3" w:rsidP="004519A3">
      <w:pPr>
        <w:pStyle w:val="Ttulo1"/>
      </w:pPr>
      <w:r w:rsidRPr="004519A3">
        <w:rPr>
          <w:rFonts w:eastAsia="Calibri" w:cs="Arial"/>
          <w:lang w:val="en-US" w:eastAsia="en-US"/>
        </w:rPr>
        <w:br w:type="page"/>
      </w:r>
      <w:bookmarkStart w:id="0" w:name="_Toc313287383"/>
      <w:bookmarkStart w:id="1" w:name="_Toc313287432"/>
      <w:bookmarkStart w:id="2" w:name="_Toc313287471"/>
      <w:bookmarkStart w:id="3" w:name="_Toc313287487"/>
      <w:bookmarkStart w:id="4" w:name="_Toc313287861"/>
      <w:bookmarkStart w:id="5" w:name="_Toc313368382"/>
      <w:bookmarkStart w:id="6" w:name="_Toc313626853"/>
      <w:bookmarkStart w:id="7" w:name="_Toc313626894"/>
      <w:bookmarkStart w:id="8" w:name="_Toc313631309"/>
      <w:bookmarkStart w:id="9" w:name="_Toc313287384"/>
      <w:bookmarkStart w:id="10" w:name="_Toc313287433"/>
      <w:bookmarkStart w:id="11" w:name="_Toc313287472"/>
      <w:bookmarkStart w:id="12" w:name="_Toc313287488"/>
      <w:bookmarkStart w:id="13" w:name="_Toc313287862"/>
      <w:bookmarkStart w:id="14" w:name="_Toc313368383"/>
      <w:bookmarkStart w:id="15" w:name="_Toc313626854"/>
      <w:bookmarkStart w:id="16" w:name="_Toc313626895"/>
      <w:bookmarkStart w:id="17" w:name="_Toc313631310"/>
      <w:bookmarkStart w:id="18" w:name="_Toc313287385"/>
      <w:bookmarkStart w:id="19" w:name="_Toc313287434"/>
      <w:bookmarkStart w:id="20" w:name="_Toc313287473"/>
      <w:bookmarkStart w:id="21" w:name="_Toc313287489"/>
      <w:bookmarkStart w:id="22" w:name="_Toc313287863"/>
      <w:bookmarkStart w:id="23" w:name="_Toc313368384"/>
      <w:bookmarkStart w:id="24" w:name="_Toc313626855"/>
      <w:bookmarkStart w:id="25" w:name="_Toc313626896"/>
      <w:bookmarkStart w:id="26" w:name="_Toc313631311"/>
      <w:bookmarkStart w:id="27" w:name="_Toc313287386"/>
      <w:bookmarkStart w:id="28" w:name="_Toc313287435"/>
      <w:bookmarkStart w:id="29" w:name="_Toc313287474"/>
      <w:bookmarkStart w:id="30" w:name="_Toc313287490"/>
      <w:bookmarkStart w:id="31" w:name="_Toc313287864"/>
      <w:bookmarkStart w:id="32" w:name="_Toc313368385"/>
      <w:bookmarkStart w:id="33" w:name="_Toc313626856"/>
      <w:bookmarkStart w:id="34" w:name="_Toc313626897"/>
      <w:bookmarkStart w:id="35" w:name="_Toc313631312"/>
      <w:bookmarkStart w:id="36" w:name="_Toc260837707"/>
      <w:bookmarkStart w:id="37" w:name="_Toc313631313"/>
      <w:bookmarkStart w:id="38" w:name="_Toc17949657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3E5B44" w:rsidRPr="00721C11">
        <w:lastRenderedPageBreak/>
        <w:t>GENERAL</w:t>
      </w:r>
      <w:bookmarkEnd w:id="36"/>
      <w:bookmarkEnd w:id="37"/>
      <w:bookmarkEnd w:id="38"/>
    </w:p>
    <w:p w14:paraId="1C37574F" w14:textId="77777777" w:rsidR="00643C99" w:rsidRPr="00721C11" w:rsidRDefault="00643C99" w:rsidP="004519A3">
      <w:pPr>
        <w:pStyle w:val="Ttulo2"/>
      </w:pPr>
      <w:r w:rsidRPr="00721C11">
        <w:t>The risks, obligations and liabilities of Seller pursuant to this Agreement are independent of the insurance policies contracted for and referred to herein and, consequently, the amount of the obligations and liabilities derived from the assumption of such risks may not be reduced by the amount of the aforementioned insurance policies or by the failure to contract for or have sufficient insurance to cover such risks, obligations and liabilities to the prejudice of Buyer or third parties. Seller shall maintain in full force and</w:t>
      </w:r>
      <w:r w:rsidR="00721C11" w:rsidRPr="00721C11">
        <w:t xml:space="preserve"> </w:t>
      </w:r>
      <w:r w:rsidRPr="00721C11">
        <w:t>effect, solely at its expense, with insurers of international standing satisfactory to Buyer, and in addition to any other insurance coverage required by Laws to be maintained by Seller, the insurance coverage required for Seller hereunder. The insurances required by this clause shall be sufficient to cover the entire insured interest relating to the risks, obligations and liabilities to which the parties involved are exposed as result of this Agreement, as well as the responsibilities delineated in the provisions setting forth the Limitation of Liability under this Agreement.</w:t>
      </w:r>
    </w:p>
    <w:p w14:paraId="121D3583" w14:textId="77777777" w:rsidR="00643C99" w:rsidRPr="004519A3" w:rsidRDefault="00643C99" w:rsidP="004519A3">
      <w:pPr>
        <w:pStyle w:val="texto3"/>
      </w:pPr>
      <w:r w:rsidRPr="004519A3">
        <w:t>Each insurance policy shall be placed under terms and conditions conforming to prudent industry practices and with insurers of recognized solvency approved by Seller.</w:t>
      </w:r>
    </w:p>
    <w:p w14:paraId="059AA4D5" w14:textId="77777777" w:rsidR="00D6453A" w:rsidRPr="004519A3" w:rsidRDefault="00643C99" w:rsidP="004519A3">
      <w:pPr>
        <w:pStyle w:val="texto3"/>
      </w:pPr>
      <w:r w:rsidRPr="004519A3">
        <w:t>Unless otherwise indicated herein, both the premiums and the benefits paid out under the policies required from Seller shall be denominated and payable in US Dollars.</w:t>
      </w:r>
    </w:p>
    <w:p w14:paraId="18B22260" w14:textId="77777777" w:rsidR="00721C11" w:rsidRPr="00721C11" w:rsidRDefault="005914CA" w:rsidP="004519A3">
      <w:pPr>
        <w:pStyle w:val="texto2"/>
      </w:pPr>
      <w:r w:rsidRPr="00721C11">
        <w:t xml:space="preserve">Seller </w:t>
      </w:r>
      <w:r w:rsidR="008F3B4D" w:rsidRPr="00721C11">
        <w:t>shall</w:t>
      </w:r>
      <w:r w:rsidR="00D6453A" w:rsidRPr="00721C11">
        <w:t xml:space="preserve"> bear any expenses related to insurance premiums connected to this </w:t>
      </w:r>
      <w:r w:rsidR="00B70827" w:rsidRPr="00721C11">
        <w:t>Agreement</w:t>
      </w:r>
      <w:r w:rsidR="00D6453A" w:rsidRPr="00721C11">
        <w:t>, in accordance with legislation in force.</w:t>
      </w:r>
    </w:p>
    <w:p w14:paraId="04DD69B0" w14:textId="77777777" w:rsidR="00D6453A" w:rsidRPr="00721C11" w:rsidRDefault="00643C99" w:rsidP="004519A3">
      <w:pPr>
        <w:pStyle w:val="texto2"/>
        <w:rPr>
          <w:bCs/>
        </w:rPr>
      </w:pPr>
      <w:r w:rsidRPr="00721C11">
        <w:t xml:space="preserve">In case insurances required in item 2 below are insufficient, Seller shall bear all the damage caused by any accident that may occur, </w:t>
      </w:r>
      <w:r w:rsidR="003F5FDA" w:rsidRPr="00721C11">
        <w:t>subject to</w:t>
      </w:r>
      <w:r w:rsidRPr="00721C11">
        <w:t xml:space="preserve"> the Limitation of Liability set forth in the Agreement. This condition also applies to any other insurance coverage that was not specified.</w:t>
      </w:r>
    </w:p>
    <w:p w14:paraId="3D2C29E1" w14:textId="77777777" w:rsidR="00721C11" w:rsidRDefault="00643C99" w:rsidP="004519A3">
      <w:pPr>
        <w:pStyle w:val="texto3"/>
      </w:pPr>
      <w:r w:rsidRPr="00721C11">
        <w:t xml:space="preserve">The amount set forth in item 2 below is the minimum coverage amount Seller is required to obtain in connection with those policies. In other words, </w:t>
      </w:r>
      <w:proofErr w:type="gramStart"/>
      <w:r w:rsidR="00B70827" w:rsidRPr="00721C11">
        <w:t>as</w:t>
      </w:r>
      <w:r w:rsidRPr="00721C11">
        <w:t xml:space="preserve"> long as</w:t>
      </w:r>
      <w:proofErr w:type="gramEnd"/>
      <w:r w:rsidRPr="00721C11">
        <w:t xml:space="preserve"> the minimum amounts required are observed and respected, Seller shall be free to contract </w:t>
      </w:r>
      <w:r w:rsidR="005914CA" w:rsidRPr="00721C11">
        <w:t xml:space="preserve">any </w:t>
      </w:r>
      <w:r w:rsidRPr="00721C11">
        <w:t xml:space="preserve">insurances </w:t>
      </w:r>
      <w:r w:rsidR="005914CA" w:rsidRPr="00721C11">
        <w:t xml:space="preserve">and/or excess coverages </w:t>
      </w:r>
      <w:r w:rsidRPr="00721C11">
        <w:t>that it considers necessary, and for such amounts that better fit its risk management profile and preferences.</w:t>
      </w:r>
    </w:p>
    <w:p w14:paraId="624F6544" w14:textId="77777777" w:rsidR="00853A46" w:rsidRPr="00721C11" w:rsidRDefault="00643C99" w:rsidP="004519A3">
      <w:pPr>
        <w:pStyle w:val="texto3"/>
      </w:pPr>
      <w:r w:rsidRPr="00721C11">
        <w:t>Seller will not be released from the obligation mentioned in 1.3 above even when the minimum insured values indicated by Buyer in item 2 were contracted, as such values are only a minimum requirement.</w:t>
      </w:r>
    </w:p>
    <w:p w14:paraId="1AECDB50" w14:textId="77777777" w:rsidR="00E273AB" w:rsidRPr="00721C11" w:rsidRDefault="006D0B37" w:rsidP="004519A3">
      <w:pPr>
        <w:pStyle w:val="texto2"/>
      </w:pPr>
      <w:r w:rsidRPr="00721C11">
        <w:t>Before the commencement of the construction works and no later than 120 (one hundred and twenty) days after Effective Date</w:t>
      </w:r>
      <w:r w:rsidR="00643C99" w:rsidRPr="00721C11">
        <w:t>, and on each subsequent anniversary of such date, Seller shall deliver to Buyer a</w:t>
      </w:r>
      <w:r w:rsidR="005914CA" w:rsidRPr="00721C11">
        <w:t>n insurance</w:t>
      </w:r>
      <w:r w:rsidR="00643C99" w:rsidRPr="00721C11">
        <w:t xml:space="preserve"> certificate issued by its insurers in which such insurers confirm</w:t>
      </w:r>
      <w:r w:rsidR="005914CA" w:rsidRPr="00721C11">
        <w:t xml:space="preserve">, at </w:t>
      </w:r>
      <w:proofErr w:type="spellStart"/>
      <w:r w:rsidR="005914CA" w:rsidRPr="00721C11">
        <w:t>least,</w:t>
      </w:r>
      <w:r w:rsidR="00643C99" w:rsidRPr="00721C11">
        <w:t>the</w:t>
      </w:r>
      <w:proofErr w:type="spellEnd"/>
      <w:r w:rsidR="00643C99" w:rsidRPr="00721C11">
        <w:t xml:space="preserve"> following: (a) the name of the insurance company which issued the policy</w:t>
      </w:r>
      <w:r w:rsidR="005914CA" w:rsidRPr="00721C11">
        <w:t xml:space="preserve">, in case of coinsurance the name of all insurance companies and </w:t>
      </w:r>
      <w:r w:rsidR="005914CA" w:rsidRPr="00721C11">
        <w:lastRenderedPageBreak/>
        <w:t>it’s respective percentage of underwriting</w:t>
      </w:r>
      <w:r w:rsidR="00643C99" w:rsidRPr="00721C11">
        <w:t xml:space="preserve">, (b) the scope (including confirmation of the waiver of the subrogation right referred to in item 1.6), coverage, deductibles, exclusions, limits and expiration date of the policy, (c) that the policy is in full force and effect on the date of certification, (d) that </w:t>
      </w:r>
      <w:r w:rsidR="009146D5" w:rsidRPr="00721C11">
        <w:t xml:space="preserve">Seller </w:t>
      </w:r>
      <w:r w:rsidR="00643C99" w:rsidRPr="00721C11">
        <w:t>has made all corresponding premium payments and (e) that Buyer has been named as additional insured in such policy.</w:t>
      </w:r>
    </w:p>
    <w:p w14:paraId="0BA65E56" w14:textId="77777777" w:rsidR="00853A46" w:rsidRPr="00721C11" w:rsidRDefault="00E70A08" w:rsidP="004519A3">
      <w:pPr>
        <w:pStyle w:val="texto3"/>
      </w:pPr>
      <w:r w:rsidRPr="00721C11">
        <w:t xml:space="preserve">The insurance policies contracted by Seller cannot be changed or cancelled without Buyer’s prior and written consent.  </w:t>
      </w:r>
    </w:p>
    <w:p w14:paraId="087DCDA8" w14:textId="2933AA6F" w:rsidR="00721C11" w:rsidRPr="00721C11" w:rsidRDefault="00643C99" w:rsidP="004519A3">
      <w:pPr>
        <w:pStyle w:val="texto2"/>
      </w:pPr>
      <w:r w:rsidRPr="00721C11">
        <w:t xml:space="preserve">All the policies required from Seller shall be valid for at least one year and </w:t>
      </w:r>
      <w:r w:rsidR="00981D10" w:rsidRPr="00721C11">
        <w:t xml:space="preserve">must </w:t>
      </w:r>
      <w:r w:rsidRPr="00721C11">
        <w:t xml:space="preserve">be renewed sequentially throughout the </w:t>
      </w:r>
      <w:r w:rsidR="00856984">
        <w:t>Agreement</w:t>
      </w:r>
      <w:r w:rsidRPr="00721C11">
        <w:t xml:space="preserve"> term. Buyer may require at any time that Seller produces satisfactory evidence that Seller’s policies are in full force and effect.</w:t>
      </w:r>
    </w:p>
    <w:p w14:paraId="5D475349" w14:textId="06753FBE" w:rsidR="00643C99" w:rsidRPr="00721C11" w:rsidRDefault="00643C99" w:rsidP="004519A3">
      <w:pPr>
        <w:pStyle w:val="texto3"/>
      </w:pPr>
      <w:r w:rsidRPr="00721C11">
        <w:t>Each insurance policy shall require that the insurer notify Buyer in writing of (</w:t>
      </w:r>
      <w:proofErr w:type="spellStart"/>
      <w:r w:rsidRPr="00721C11">
        <w:t>i</w:t>
      </w:r>
      <w:proofErr w:type="spellEnd"/>
      <w:r w:rsidRPr="00721C11">
        <w:t xml:space="preserve">) the expiration or cancellation of the policy or the occurrence of significant changes therein at least </w:t>
      </w:r>
      <w:r w:rsidR="001B79EC" w:rsidRPr="00721C11">
        <w:t xml:space="preserve">15 </w:t>
      </w:r>
      <w:r w:rsidRPr="00721C11">
        <w:t xml:space="preserve">Days in advance and (ii) the nonpayment of the premiums of such policies on the part of </w:t>
      </w:r>
      <w:r w:rsidR="009146D5" w:rsidRPr="00721C11">
        <w:t xml:space="preserve">Seller </w:t>
      </w:r>
      <w:r w:rsidRPr="00721C11">
        <w:t>within five Days of the expiration of the period for making such payments. Seller shall also immediately notify Buyer of the occurrence of any of the following: (</w:t>
      </w:r>
      <w:proofErr w:type="spellStart"/>
      <w:r w:rsidRPr="00721C11">
        <w:t>i</w:t>
      </w:r>
      <w:proofErr w:type="spellEnd"/>
      <w:r w:rsidRPr="00721C11">
        <w:t>) any significant loss covered by a policy required from Seller,</w:t>
      </w:r>
      <w:r w:rsidR="00E72D75">
        <w:t xml:space="preserve"> </w:t>
      </w:r>
      <w:r w:rsidR="00E72D75" w:rsidRPr="00E72D75">
        <w:t>whose value is equal to or greater than the deductible established for the policy under which the claim will be registered</w:t>
      </w:r>
      <w:r w:rsidRPr="00721C11">
        <w:t xml:space="preserve"> (ii) any significant dispute with an insurer, (iii) the anticipated cancellation of any policy, (iv) the failure to pay any premium, (v) the failure to maintain in full force and effect, for any reason, any policy required from Seller, and (vi) any significant change in coverage under any of the insurance policies obtained by Seller.</w:t>
      </w:r>
    </w:p>
    <w:p w14:paraId="14530CA3" w14:textId="77777777" w:rsidR="00B22D6D" w:rsidRPr="004519A3" w:rsidRDefault="00B22D6D" w:rsidP="004519A3">
      <w:pPr>
        <w:pStyle w:val="texto3"/>
      </w:pPr>
      <w:r w:rsidRPr="004519A3">
        <w:t>Seller shall notify Buyer at least 15 days in advance of the renewal of each insurance policy.</w:t>
      </w:r>
    </w:p>
    <w:p w14:paraId="5FF2DAD8" w14:textId="77777777" w:rsidR="00BB2427" w:rsidRDefault="001B79EC" w:rsidP="00BB2427">
      <w:pPr>
        <w:pStyle w:val="texto2"/>
      </w:pPr>
      <w:r w:rsidRPr="004519A3">
        <w:t xml:space="preserve">All insurance policies applicable to the performance of the </w:t>
      </w:r>
      <w:r w:rsidRPr="004519A3">
        <w:rPr>
          <w:rFonts w:eastAsia="Yu Mincho"/>
        </w:rPr>
        <w:t>Agreement</w:t>
      </w:r>
      <w:r w:rsidRPr="004519A3">
        <w:t xml:space="preserve"> shall, to the maximum extent permitted </w:t>
      </w:r>
      <w:r w:rsidRPr="004519A3">
        <w:rPr>
          <w:rFonts w:eastAsia="Yu Mincho"/>
        </w:rPr>
        <w:t>under</w:t>
      </w:r>
      <w:r w:rsidRPr="004519A3">
        <w:t xml:space="preserve"> Applicable Law, contain waivers of recourse and subrogation, against Seller Group,</w:t>
      </w:r>
      <w:r w:rsidR="00BB2427">
        <w:t xml:space="preserve"> but only to the extent of </w:t>
      </w:r>
      <w:proofErr w:type="spellStart"/>
      <w:proofErr w:type="gramStart"/>
      <w:r w:rsidR="00BB2427">
        <w:t>Buyer”s</w:t>
      </w:r>
      <w:proofErr w:type="spellEnd"/>
      <w:proofErr w:type="gramEnd"/>
      <w:r w:rsidR="00BB2427">
        <w:t xml:space="preserve"> obligations to indemnify Seller Group under the Agreement</w:t>
      </w:r>
      <w:r w:rsidRPr="004519A3">
        <w:rPr>
          <w:rFonts w:eastAsia="Yu Mincho"/>
        </w:rPr>
        <w:t xml:space="preserve">. </w:t>
      </w:r>
      <w:r w:rsidR="00643C99" w:rsidRPr="004519A3">
        <w:t>All Insurance Certificates shall contain such express waiver.</w:t>
      </w:r>
    </w:p>
    <w:p w14:paraId="56FC5793" w14:textId="61FB545B" w:rsidR="00EF66C2" w:rsidRPr="00EF66C2" w:rsidRDefault="00EF66C2" w:rsidP="00BB7133">
      <w:pPr>
        <w:pStyle w:val="texto3"/>
        <w:tabs>
          <w:tab w:val="clear" w:pos="284"/>
        </w:tabs>
        <w:ind w:left="0" w:firstLine="0"/>
      </w:pPr>
      <w:r w:rsidRPr="00EF66C2">
        <w:t xml:space="preserve">All </w:t>
      </w:r>
      <w:r w:rsidR="009179FA" w:rsidRPr="00EF66C2">
        <w:t xml:space="preserve">insurance policies applicable to the performance of the </w:t>
      </w:r>
      <w:r w:rsidR="009179FA" w:rsidRPr="00BB2427">
        <w:rPr>
          <w:rFonts w:eastAsia="Yu Mincho" w:cs="Arial"/>
        </w:rPr>
        <w:t>Agreement</w:t>
      </w:r>
      <w:r w:rsidR="009179FA" w:rsidRPr="00EF66C2">
        <w:t xml:space="preserve"> shall, to the </w:t>
      </w:r>
      <w:r w:rsidR="000E2338" w:rsidRPr="00EF66C2">
        <w:t xml:space="preserve">maximum extent permitted by the Applicable Law, contain clauses to waive rights of recourse and subrogation, against Buyer Group, but only </w:t>
      </w:r>
      <w:r w:rsidR="00A97EE6">
        <w:t>to</w:t>
      </w:r>
      <w:r w:rsidR="000E2338" w:rsidRPr="00EF66C2">
        <w:t xml:space="preserve"> the extent of the obligations of the Seller indemnify Buyer Group</w:t>
      </w:r>
      <w:r w:rsidR="000E2338" w:rsidRPr="00BB2427">
        <w:rPr>
          <w:color w:val="FF0000"/>
        </w:rPr>
        <w:t xml:space="preserve"> </w:t>
      </w:r>
      <w:r w:rsidR="000E2338" w:rsidRPr="00EF66C2">
        <w:t xml:space="preserve">under the </w:t>
      </w:r>
      <w:r w:rsidR="000E2338" w:rsidRPr="00BB2427">
        <w:rPr>
          <w:rFonts w:eastAsia="Yu Mincho" w:cs="Arial"/>
        </w:rPr>
        <w:t xml:space="preserve">Agreement.  </w:t>
      </w:r>
    </w:p>
    <w:p w14:paraId="32E78A50" w14:textId="77777777" w:rsidR="00196F2F" w:rsidRPr="00721C11" w:rsidRDefault="00643C99" w:rsidP="004519A3">
      <w:pPr>
        <w:pStyle w:val="texto2"/>
      </w:pPr>
      <w:r w:rsidRPr="00721C11">
        <w:t>All insurance policies shall abide by the law of the countries where the Scope of Supply will be performed, without prejudice to the requirement to comply with any Brazilian and other applicable laws herein provided.</w:t>
      </w:r>
    </w:p>
    <w:p w14:paraId="77B1DC33" w14:textId="77777777" w:rsidR="00196F2F" w:rsidRPr="00721C11" w:rsidRDefault="00643C99" w:rsidP="004519A3">
      <w:pPr>
        <w:pStyle w:val="texto2"/>
      </w:pPr>
      <w:r w:rsidRPr="00721C11">
        <w:t xml:space="preserve">For the activities to be performed in Brazil, the insurance policies shall be acquired from insurers legally authorized by </w:t>
      </w:r>
      <w:proofErr w:type="spellStart"/>
      <w:r w:rsidRPr="00721C11">
        <w:t>Superintendência</w:t>
      </w:r>
      <w:proofErr w:type="spellEnd"/>
      <w:r w:rsidRPr="00721C11">
        <w:t xml:space="preserve"> de </w:t>
      </w:r>
      <w:proofErr w:type="spellStart"/>
      <w:r w:rsidRPr="00721C11">
        <w:t>Seguros</w:t>
      </w:r>
      <w:proofErr w:type="spellEnd"/>
      <w:r w:rsidRPr="00721C11">
        <w:t xml:space="preserve"> </w:t>
      </w:r>
      <w:r w:rsidRPr="00721C11">
        <w:lastRenderedPageBreak/>
        <w:t xml:space="preserve">Privados (SUSEP) to operate in Brazil. According to the Brazilian law, the reinsurance shall be placed as per </w:t>
      </w:r>
      <w:proofErr w:type="spellStart"/>
      <w:r w:rsidR="00554C2E" w:rsidRPr="00721C11">
        <w:t>Conselho</w:t>
      </w:r>
      <w:proofErr w:type="spellEnd"/>
      <w:r w:rsidR="00554C2E" w:rsidRPr="00721C11">
        <w:t xml:space="preserve"> Nacional de </w:t>
      </w:r>
      <w:proofErr w:type="spellStart"/>
      <w:r w:rsidR="00554C2E" w:rsidRPr="00721C11">
        <w:t>Seguros</w:t>
      </w:r>
      <w:proofErr w:type="spellEnd"/>
      <w:r w:rsidR="00554C2E" w:rsidRPr="00721C11">
        <w:t xml:space="preserve"> Privados – CNSP </w:t>
      </w:r>
      <w:r w:rsidRPr="00721C11">
        <w:t xml:space="preserve">Resolution nº </w:t>
      </w:r>
      <w:r w:rsidR="00554C2E" w:rsidRPr="00721C11">
        <w:t>451/2022</w:t>
      </w:r>
      <w:r w:rsidRPr="00721C11">
        <w:t>.</w:t>
      </w:r>
    </w:p>
    <w:p w14:paraId="7D59991E" w14:textId="77777777" w:rsidR="003E5B44" w:rsidRPr="00721C11" w:rsidRDefault="00643C99" w:rsidP="004519A3">
      <w:pPr>
        <w:pStyle w:val="texto2"/>
      </w:pPr>
      <w:r w:rsidRPr="00721C11">
        <w:t xml:space="preserve">Seller and its Subcontractors, as additional insured parties under the insurance policies of Buyer, shall comply with all reasonable requests for documents, information and other data related to the </w:t>
      </w:r>
      <w:r w:rsidR="009146D5" w:rsidRPr="00721C11">
        <w:t xml:space="preserve">Scope </w:t>
      </w:r>
      <w:r w:rsidRPr="00721C11">
        <w:t xml:space="preserve">of </w:t>
      </w:r>
      <w:r w:rsidR="009146D5" w:rsidRPr="00721C11">
        <w:t xml:space="preserve">Supply </w:t>
      </w:r>
      <w:r w:rsidRPr="00721C11">
        <w:t>that may be made by the insurer for the proper maintenance and administration of said policies.</w:t>
      </w:r>
    </w:p>
    <w:p w14:paraId="71541931" w14:textId="77777777" w:rsidR="00453D33" w:rsidRPr="004519A3" w:rsidRDefault="00643C99" w:rsidP="004F4FD1">
      <w:pPr>
        <w:pStyle w:val="texto2"/>
        <w:autoSpaceDE w:val="0"/>
        <w:autoSpaceDN w:val="0"/>
        <w:adjustRightInd w:val="0"/>
        <w:rPr>
          <w:rFonts w:cs="Arial"/>
        </w:rPr>
      </w:pPr>
      <w:r w:rsidRPr="00721C11">
        <w:t>Requests made pursuant to Clause</w:t>
      </w:r>
      <w:r w:rsidR="00471BC0" w:rsidRPr="00721C11">
        <w:t xml:space="preserve"> 1.9</w:t>
      </w:r>
      <w:r w:rsidRPr="00721C11">
        <w:t xml:space="preserve"> are extensive to all contractors, subcontractors and suppliers that Seller uses for the implementation of the services of this</w:t>
      </w:r>
      <w:r w:rsidR="004519A3">
        <w:t xml:space="preserve"> </w:t>
      </w:r>
      <w:r w:rsidR="00B70827" w:rsidRPr="004519A3">
        <w:rPr>
          <w:rFonts w:cs="Arial"/>
        </w:rPr>
        <w:t>Agreement</w:t>
      </w:r>
      <w:r w:rsidRPr="004519A3">
        <w:rPr>
          <w:rFonts w:cs="Arial"/>
        </w:rPr>
        <w:t xml:space="preserve">, with the exception of those contractors who access the Site on a strictly temporary basis, for the performance of activities that are </w:t>
      </w:r>
      <w:r w:rsidR="00D7104A" w:rsidRPr="004519A3">
        <w:rPr>
          <w:rFonts w:cs="Arial"/>
        </w:rPr>
        <w:t>up to 5 days</w:t>
      </w:r>
      <w:r w:rsidRPr="004519A3">
        <w:rPr>
          <w:rFonts w:cs="Arial"/>
        </w:rPr>
        <w:t>, and which do not remain at the Site where the services are performed for a significant length of time. In this latter case, Seller shall make sure that its policies cover such contractors.</w:t>
      </w:r>
    </w:p>
    <w:p w14:paraId="42577266" w14:textId="77777777" w:rsidR="00CE5BAF" w:rsidRPr="00721C11" w:rsidRDefault="00CE5BAF" w:rsidP="004519A3">
      <w:pPr>
        <w:pStyle w:val="texto2"/>
      </w:pPr>
      <w:r w:rsidRPr="00721C11">
        <w:t>Whe</w:t>
      </w:r>
      <w:r w:rsidR="00643C99" w:rsidRPr="00721C11">
        <w:t>re</w:t>
      </w:r>
      <w:r w:rsidRPr="00721C11">
        <w:t xml:space="preserve"> applicable</w:t>
      </w:r>
      <w:r w:rsidR="00E5793B" w:rsidRPr="00721C11">
        <w:t>,</w:t>
      </w:r>
      <w:r w:rsidRPr="00721C11">
        <w:t xml:space="preserve"> each Party shall </w:t>
      </w:r>
      <w:r w:rsidR="00643C99" w:rsidRPr="00721C11">
        <w:t xml:space="preserve">bear </w:t>
      </w:r>
      <w:r w:rsidRPr="00721C11">
        <w:t>the responsibility for:</w:t>
      </w:r>
    </w:p>
    <w:p w14:paraId="2FCC87CD" w14:textId="01E00B9E" w:rsidR="00CE5BAF" w:rsidRPr="00721C11" w:rsidRDefault="00CE5BAF" w:rsidP="004519A3">
      <w:pPr>
        <w:numPr>
          <w:ilvl w:val="5"/>
          <w:numId w:val="1"/>
        </w:numPr>
        <w:tabs>
          <w:tab w:val="clear" w:pos="567"/>
          <w:tab w:val="left" w:pos="993"/>
        </w:tabs>
        <w:spacing w:before="0" w:after="240"/>
        <w:ind w:left="992" w:hanging="425"/>
        <w:jc w:val="both"/>
        <w:outlineLvl w:val="5"/>
        <w:rPr>
          <w:rFonts w:cs="Arial"/>
          <w:lang w:val="en-US"/>
        </w:rPr>
      </w:pPr>
      <w:r w:rsidRPr="00721C11">
        <w:rPr>
          <w:rFonts w:cs="Arial"/>
          <w:lang w:val="en-US"/>
        </w:rPr>
        <w:t xml:space="preserve">Costs of accidents it has caused and is liable for, </w:t>
      </w:r>
      <w:r w:rsidR="00554C2E" w:rsidRPr="00721C11">
        <w:rPr>
          <w:rFonts w:cs="Arial"/>
          <w:lang w:val="en-US"/>
        </w:rPr>
        <w:t xml:space="preserve">in case of an exclusion that cannot trigger the policies coverages </w:t>
      </w:r>
      <w:proofErr w:type="gramStart"/>
      <w:r w:rsidR="00554C2E" w:rsidRPr="00721C11">
        <w:rPr>
          <w:rFonts w:cs="Arial"/>
          <w:lang w:val="en-US"/>
        </w:rPr>
        <w:t xml:space="preserve">contracted,  </w:t>
      </w:r>
      <w:r w:rsidR="00947B00" w:rsidRPr="00947B00">
        <w:rPr>
          <w:rFonts w:cs="Arial"/>
          <w:lang w:val="en-US"/>
        </w:rPr>
        <w:t xml:space="preserve"> </w:t>
      </w:r>
      <w:proofErr w:type="gramEnd"/>
      <w:r w:rsidR="00947B00">
        <w:rPr>
          <w:rFonts w:cs="Arial"/>
          <w:lang w:val="en-US"/>
        </w:rPr>
        <w:t xml:space="preserve">subject to </w:t>
      </w:r>
      <w:r w:rsidR="00947B00" w:rsidRPr="00947B00">
        <w:rPr>
          <w:rFonts w:cs="Arial"/>
          <w:lang w:val="en-US"/>
        </w:rPr>
        <w:t xml:space="preserve">Clause 22 - Indemnities; </w:t>
      </w:r>
      <w:r w:rsidR="00554C2E" w:rsidRPr="00721C11">
        <w:rPr>
          <w:rFonts w:cs="Arial"/>
          <w:lang w:val="en-US"/>
        </w:rPr>
        <w:t xml:space="preserve">Limitation Liability clause of the </w:t>
      </w:r>
      <w:proofErr w:type="gramStart"/>
      <w:r w:rsidR="00554C2E" w:rsidRPr="00721C11">
        <w:rPr>
          <w:rFonts w:cs="Arial"/>
          <w:lang w:val="en-US"/>
        </w:rPr>
        <w:t>Agreement;</w:t>
      </w:r>
      <w:proofErr w:type="gramEnd"/>
    </w:p>
    <w:p w14:paraId="548287A8" w14:textId="77777777" w:rsidR="00CE5BAF" w:rsidRPr="00721C11" w:rsidRDefault="00554C2E" w:rsidP="004519A3">
      <w:pPr>
        <w:numPr>
          <w:ilvl w:val="5"/>
          <w:numId w:val="1"/>
        </w:numPr>
        <w:tabs>
          <w:tab w:val="clear" w:pos="567"/>
          <w:tab w:val="left" w:pos="993"/>
        </w:tabs>
        <w:spacing w:before="0" w:after="240"/>
        <w:ind w:left="992" w:hanging="425"/>
        <w:jc w:val="both"/>
        <w:outlineLvl w:val="5"/>
        <w:rPr>
          <w:rFonts w:cs="Arial"/>
          <w:lang w:val="en-US"/>
        </w:rPr>
      </w:pPr>
      <w:r w:rsidRPr="00721C11">
        <w:rPr>
          <w:rFonts w:cs="Arial"/>
          <w:lang w:val="en-US"/>
        </w:rPr>
        <w:t xml:space="preserve">Costs of the deductible amount in case of a claim that has caused and is liable </w:t>
      </w:r>
      <w:proofErr w:type="gramStart"/>
      <w:r w:rsidRPr="00721C11">
        <w:rPr>
          <w:rFonts w:cs="Arial"/>
          <w:lang w:val="en-US"/>
        </w:rPr>
        <w:t>for;</w:t>
      </w:r>
      <w:proofErr w:type="gramEnd"/>
    </w:p>
    <w:p w14:paraId="2E9B1D1C" w14:textId="77777777" w:rsidR="001B79EC" w:rsidRPr="00721C11" w:rsidRDefault="001B79EC" w:rsidP="004519A3">
      <w:pPr>
        <w:numPr>
          <w:ilvl w:val="5"/>
          <w:numId w:val="1"/>
        </w:numPr>
        <w:tabs>
          <w:tab w:val="clear" w:pos="567"/>
          <w:tab w:val="left" w:pos="993"/>
        </w:tabs>
        <w:spacing w:before="0" w:after="240"/>
        <w:ind w:left="992" w:hanging="425"/>
        <w:jc w:val="both"/>
        <w:outlineLvl w:val="5"/>
        <w:rPr>
          <w:rFonts w:cs="Arial"/>
          <w:lang w:val="en-US"/>
        </w:rPr>
      </w:pPr>
      <w:r w:rsidRPr="00721C11">
        <w:rPr>
          <w:rFonts w:cs="Arial"/>
          <w:lang w:val="en-US"/>
        </w:rPr>
        <w:t xml:space="preserve">In case of the event of a claim under the CAR policy (contracted by the Buyer), the Seller is responsible for covering the deductible amount. Additionally, the Seller's insurance policies must include a waiver of subrogation clause in favor of the Buyer </w:t>
      </w:r>
    </w:p>
    <w:p w14:paraId="0FB8964A" w14:textId="77777777" w:rsidR="00853A46" w:rsidRPr="004519A3" w:rsidRDefault="00643C99" w:rsidP="004519A3">
      <w:pPr>
        <w:pStyle w:val="Ttulo1"/>
      </w:pPr>
      <w:bookmarkStart w:id="39" w:name="_Toc313631314"/>
      <w:bookmarkStart w:id="40" w:name="_Toc179496578"/>
      <w:bookmarkStart w:id="41" w:name="OLE_LINK3"/>
      <w:r w:rsidRPr="004519A3">
        <w:t>SELLER’S</w:t>
      </w:r>
      <w:r w:rsidR="00853A46" w:rsidRPr="004519A3">
        <w:t xml:space="preserve"> INSURANCE</w:t>
      </w:r>
      <w:bookmarkEnd w:id="39"/>
      <w:bookmarkEnd w:id="40"/>
    </w:p>
    <w:bookmarkEnd w:id="41"/>
    <w:p w14:paraId="376A4390" w14:textId="77777777" w:rsidR="003E5B44" w:rsidRPr="00721C11" w:rsidRDefault="004519A3" w:rsidP="004519A3">
      <w:pPr>
        <w:pStyle w:val="texto2"/>
      </w:pPr>
      <w:r w:rsidRPr="00721C11">
        <w:t xml:space="preserve">Insurances required from seller while providing services outside </w:t>
      </w:r>
      <w:r>
        <w:t>B</w:t>
      </w:r>
      <w:r w:rsidRPr="00721C11">
        <w:t>razil</w:t>
      </w:r>
    </w:p>
    <w:p w14:paraId="02AECB60" w14:textId="77777777" w:rsidR="003E5B44" w:rsidRDefault="00643C99" w:rsidP="004519A3">
      <w:pPr>
        <w:pStyle w:val="texto3"/>
      </w:pPr>
      <w:r w:rsidRPr="00721C11">
        <w:t xml:space="preserve">Seller </w:t>
      </w:r>
      <w:r w:rsidR="003E5B44" w:rsidRPr="00721C11">
        <w:t xml:space="preserve">shall contract insurances to protect its employees and assets, and its liabilities against third parties, related to present </w:t>
      </w:r>
      <w:r w:rsidR="00B70827" w:rsidRPr="00721C11">
        <w:t>Agreement</w:t>
      </w:r>
      <w:r w:rsidR="003E5B44" w:rsidRPr="00721C11">
        <w:t xml:space="preserve">, in accordance with the </w:t>
      </w:r>
      <w:r w:rsidR="00471BC0" w:rsidRPr="00721C11">
        <w:t xml:space="preserve">Applicable </w:t>
      </w:r>
      <w:r w:rsidR="003E5B44" w:rsidRPr="00721C11">
        <w:t xml:space="preserve">Laws in force where the contract services are been </w:t>
      </w:r>
      <w:r w:rsidRPr="00721C11">
        <w:t>provided</w:t>
      </w:r>
      <w:r w:rsidR="003E5B44" w:rsidRPr="00721C11">
        <w:t xml:space="preserve">, and </w:t>
      </w:r>
      <w:r w:rsidRPr="00721C11">
        <w:t xml:space="preserve">any </w:t>
      </w:r>
      <w:r w:rsidR="003E5B44" w:rsidRPr="00721C11">
        <w:t xml:space="preserve">insurances that it considers necessary, with appropriate coverage and insured amounts. </w:t>
      </w:r>
    </w:p>
    <w:p w14:paraId="06BCD01C" w14:textId="7FC2FFF7" w:rsidR="003E5B44" w:rsidRDefault="00400C16" w:rsidP="004519A3">
      <w:pPr>
        <w:pStyle w:val="texto3"/>
      </w:pPr>
      <w:r w:rsidRPr="00721C11">
        <w:t xml:space="preserve">Subject to the limits </w:t>
      </w:r>
      <w:r w:rsidR="00E04708" w:rsidRPr="00721C11">
        <w:t xml:space="preserve">and conditions </w:t>
      </w:r>
      <w:r w:rsidRPr="00721C11">
        <w:t>established in item</w:t>
      </w:r>
      <w:r w:rsidR="00E04708" w:rsidRPr="00721C11">
        <w:t xml:space="preserve"> </w:t>
      </w:r>
      <w:r w:rsidR="001B79EC" w:rsidRPr="00721C11">
        <w:t>14</w:t>
      </w:r>
      <w:r w:rsidR="004365FB" w:rsidRPr="00721C11">
        <w:t xml:space="preserve">.8 </w:t>
      </w:r>
      <w:r w:rsidR="00853A46" w:rsidRPr="00721C11">
        <w:t xml:space="preserve">of </w:t>
      </w:r>
      <w:r w:rsidR="006D5DE6" w:rsidRPr="006D5DE6">
        <w:t>the Agreement and the provisions of Article 22 of the Agreement</w:t>
      </w:r>
      <w:r w:rsidR="00423983" w:rsidRPr="00721C11">
        <w:t>,</w:t>
      </w:r>
      <w:r w:rsidRPr="00721C11">
        <w:t xml:space="preserve"> </w:t>
      </w:r>
      <w:r w:rsidR="00643C99" w:rsidRPr="00721C11">
        <w:t>Seller</w:t>
      </w:r>
      <w:r w:rsidR="003E5B44" w:rsidRPr="00721C11">
        <w:t xml:space="preserve"> shall release, indemn</w:t>
      </w:r>
      <w:r w:rsidR="00423983" w:rsidRPr="00721C11">
        <w:t xml:space="preserve">ify, defend, and hold harmless </w:t>
      </w:r>
      <w:r w:rsidR="00643C99" w:rsidRPr="00721C11">
        <w:t xml:space="preserve">Buyer </w:t>
      </w:r>
      <w:r w:rsidR="003E5B44" w:rsidRPr="00721C11">
        <w:t>from and against any and all liabilities, losses, expenses, damages, demands, causes of action, judg</w:t>
      </w:r>
      <w:r w:rsidR="00423983" w:rsidRPr="00721C11">
        <w:t xml:space="preserve">ments, and claims, suffered by </w:t>
      </w:r>
      <w:r w:rsidR="00643C99" w:rsidRPr="00721C11">
        <w:t>Buyer</w:t>
      </w:r>
      <w:r w:rsidR="00107023" w:rsidRPr="00721C11">
        <w:t xml:space="preserve"> </w:t>
      </w:r>
      <w:r w:rsidR="003E5B44" w:rsidRPr="00721C11">
        <w:t xml:space="preserve">or Third Parties </w:t>
      </w:r>
      <w:r w:rsidR="00793826">
        <w:t xml:space="preserve">that </w:t>
      </w:r>
      <w:r w:rsidR="003E5B44" w:rsidRPr="00721C11">
        <w:t xml:space="preserve">directly or indirectly arise </w:t>
      </w:r>
      <w:r w:rsidR="00643C99" w:rsidRPr="00721C11">
        <w:t>out of</w:t>
      </w:r>
      <w:r w:rsidR="00BF694D">
        <w:t xml:space="preserve"> Seller’s</w:t>
      </w:r>
      <w:r w:rsidR="003E5B44" w:rsidRPr="00721C11">
        <w:t xml:space="preserve"> non</w:t>
      </w:r>
      <w:r w:rsidR="00643C99" w:rsidRPr="00721C11">
        <w:t>-compliance</w:t>
      </w:r>
      <w:r w:rsidR="003E5B44" w:rsidRPr="00721C11">
        <w:t xml:space="preserve"> with item 2.1.1 above.</w:t>
      </w:r>
    </w:p>
    <w:p w14:paraId="1488786D" w14:textId="77777777" w:rsidR="003E5B44" w:rsidRPr="004519A3" w:rsidRDefault="004519A3" w:rsidP="004519A3">
      <w:pPr>
        <w:pStyle w:val="texto2"/>
      </w:pPr>
      <w:r w:rsidRPr="004519A3">
        <w:t>Insurances required from seller while providing services in Brazil.</w:t>
      </w:r>
    </w:p>
    <w:p w14:paraId="5280A52F" w14:textId="77777777" w:rsidR="003E5B44" w:rsidRPr="00721C11" w:rsidRDefault="004519A3" w:rsidP="004519A3">
      <w:pPr>
        <w:pStyle w:val="texto3"/>
      </w:pPr>
      <w:r w:rsidRPr="00721C11">
        <w:lastRenderedPageBreak/>
        <w:t>Workplace accident insurance</w:t>
      </w:r>
    </w:p>
    <w:p w14:paraId="2C4DE47D" w14:textId="77777777" w:rsidR="003E5B44" w:rsidRPr="00721C11" w:rsidRDefault="00643C99" w:rsidP="004519A3">
      <w:pPr>
        <w:pStyle w:val="texto4"/>
      </w:pPr>
      <w:r w:rsidRPr="00721C11">
        <w:t xml:space="preserve">Seller </w:t>
      </w:r>
      <w:r w:rsidR="003E5B44" w:rsidRPr="00721C11">
        <w:t>shall provide coverage according to the applicable Brazilian laws.</w:t>
      </w:r>
    </w:p>
    <w:p w14:paraId="43435A7D" w14:textId="77777777" w:rsidR="003E5B44" w:rsidRPr="00721C11" w:rsidRDefault="004519A3" w:rsidP="004519A3">
      <w:pPr>
        <w:pStyle w:val="texto3"/>
      </w:pPr>
      <w:r w:rsidRPr="00721C11">
        <w:t xml:space="preserve">Life insurance </w:t>
      </w:r>
      <w:r w:rsidR="003E5B44" w:rsidRPr="00721C11">
        <w:t>(Seguro de Vida)</w:t>
      </w:r>
    </w:p>
    <w:p w14:paraId="09F34767" w14:textId="77777777" w:rsidR="00721C11" w:rsidRPr="004519A3" w:rsidRDefault="00853A46" w:rsidP="004519A3">
      <w:pPr>
        <w:pStyle w:val="texto4"/>
      </w:pPr>
      <w:r w:rsidRPr="004519A3">
        <w:t xml:space="preserve">For the </w:t>
      </w:r>
      <w:r w:rsidR="00643C99" w:rsidRPr="004519A3">
        <w:t xml:space="preserve">Seller’s </w:t>
      </w:r>
      <w:r w:rsidRPr="004519A3">
        <w:t>employees</w:t>
      </w:r>
      <w:r w:rsidR="00E5793B" w:rsidRPr="004519A3">
        <w:t>,</w:t>
      </w:r>
      <w:r w:rsidRPr="004519A3">
        <w:t xml:space="preserve"> covering death for any reason (MNA), special indemnification for death caused by any accident (IEA), permanent total or partial disability as a result from accidents (IPA), and permanent disability due to a disease (ID), provided that </w:t>
      </w:r>
      <w:r w:rsidR="00B70827" w:rsidRPr="004519A3">
        <w:t xml:space="preserve">the </w:t>
      </w:r>
      <w:r w:rsidRPr="004519A3">
        <w:t xml:space="preserve">activities are executed in premises or facilities under </w:t>
      </w:r>
      <w:r w:rsidR="00643C99" w:rsidRPr="004519A3">
        <w:t xml:space="preserve">Buyer </w:t>
      </w:r>
      <w:r w:rsidRPr="004519A3">
        <w:t xml:space="preserve">responsibility or in the premises of third parties at the service of </w:t>
      </w:r>
      <w:r w:rsidR="00643C99" w:rsidRPr="004519A3">
        <w:t>Buyer</w:t>
      </w:r>
      <w:r w:rsidR="00107023" w:rsidRPr="004519A3">
        <w:t>.</w:t>
      </w:r>
    </w:p>
    <w:p w14:paraId="5506F3AA" w14:textId="551461F1" w:rsidR="006E4678" w:rsidRPr="004519A3" w:rsidRDefault="006E4678" w:rsidP="004519A3">
      <w:pPr>
        <w:pStyle w:val="texto4"/>
      </w:pPr>
      <w:r w:rsidRPr="004519A3">
        <w:t xml:space="preserve">The amount insured shall be at least </w:t>
      </w:r>
      <w:r w:rsidR="003819BC">
        <w:t>24</w:t>
      </w:r>
      <w:r w:rsidR="003819BC" w:rsidRPr="004519A3">
        <w:t xml:space="preserve"> </w:t>
      </w:r>
      <w:r w:rsidRPr="004519A3">
        <w:t>(</w:t>
      </w:r>
      <w:r w:rsidR="00A31350">
        <w:t>twenty-four</w:t>
      </w:r>
      <w:r w:rsidRPr="004519A3">
        <w:t xml:space="preserve">) times the salary of each employee. </w:t>
      </w:r>
    </w:p>
    <w:p w14:paraId="06BE91E9" w14:textId="77777777" w:rsidR="003E5B44" w:rsidRPr="004519A3" w:rsidRDefault="004519A3" w:rsidP="004519A3">
      <w:pPr>
        <w:pStyle w:val="texto3"/>
        <w:rPr>
          <w:lang w:val="pt-BR"/>
        </w:rPr>
      </w:pPr>
      <w:r w:rsidRPr="00BB7133">
        <w:rPr>
          <w:lang w:val="pt-BR"/>
        </w:rPr>
        <w:t xml:space="preserve">Personal </w:t>
      </w:r>
      <w:proofErr w:type="spellStart"/>
      <w:r w:rsidRPr="00BB7133">
        <w:rPr>
          <w:lang w:val="pt-BR"/>
        </w:rPr>
        <w:t>accident</w:t>
      </w:r>
      <w:proofErr w:type="spellEnd"/>
      <w:r w:rsidRPr="00BB7133">
        <w:rPr>
          <w:lang w:val="pt-BR"/>
        </w:rPr>
        <w:t xml:space="preserve"> </w:t>
      </w:r>
      <w:proofErr w:type="spellStart"/>
      <w:r w:rsidRPr="00BB7133">
        <w:rPr>
          <w:lang w:val="pt-BR"/>
        </w:rPr>
        <w:t>insurance</w:t>
      </w:r>
      <w:proofErr w:type="spellEnd"/>
      <w:r w:rsidR="003E5B44" w:rsidRPr="004519A3">
        <w:rPr>
          <w:lang w:val="pt-BR"/>
        </w:rPr>
        <w:t xml:space="preserve"> (Seguro de Acidentes Pessoais)</w:t>
      </w:r>
    </w:p>
    <w:p w14:paraId="57F04041" w14:textId="77777777" w:rsidR="00075B24" w:rsidRDefault="00075B24" w:rsidP="004519A3">
      <w:pPr>
        <w:pStyle w:val="texto4"/>
      </w:pPr>
      <w:r w:rsidRPr="00721C11">
        <w:t xml:space="preserve">For </w:t>
      </w:r>
      <w:r w:rsidR="00643C99" w:rsidRPr="00721C11">
        <w:t>those of Seller’s</w:t>
      </w:r>
      <w:r w:rsidRPr="00721C11">
        <w:t xml:space="preserve"> collaborators, not directly employed by </w:t>
      </w:r>
      <w:r w:rsidR="00643C99" w:rsidRPr="00721C11">
        <w:t>Seller</w:t>
      </w:r>
      <w:r w:rsidRPr="00721C11">
        <w:t xml:space="preserve">, </w:t>
      </w:r>
      <w:r w:rsidR="00643C99" w:rsidRPr="00721C11">
        <w:t xml:space="preserve">coverage shall </w:t>
      </w:r>
      <w:r w:rsidRPr="00721C11">
        <w:t>includ</w:t>
      </w:r>
      <w:r w:rsidR="00643C99" w:rsidRPr="00721C11">
        <w:t>e</w:t>
      </w:r>
      <w:r w:rsidRPr="00721C11">
        <w:t xml:space="preserve"> death and/or permanent disability </w:t>
      </w:r>
      <w:r w:rsidR="004A7EBA" w:rsidRPr="00721C11">
        <w:t xml:space="preserve">arising from </w:t>
      </w:r>
      <w:r w:rsidRPr="00721C11">
        <w:t>accidents occurr</w:t>
      </w:r>
      <w:r w:rsidR="00643C99" w:rsidRPr="00721C11">
        <w:t>ing</w:t>
      </w:r>
      <w:r w:rsidRPr="00721C11">
        <w:t xml:space="preserve"> during the </w:t>
      </w:r>
      <w:r w:rsidR="00643C99" w:rsidRPr="00721C11">
        <w:t xml:space="preserve">execution of scope of supply, </w:t>
      </w:r>
      <w:r w:rsidR="004A7EBA" w:rsidRPr="00721C11">
        <w:t>as</w:t>
      </w:r>
      <w:r w:rsidR="004519A3">
        <w:t xml:space="preserve"> </w:t>
      </w:r>
      <w:r w:rsidR="004A7EBA" w:rsidRPr="00721C11">
        <w:t>much</w:t>
      </w:r>
      <w:r w:rsidRPr="00721C11">
        <w:t xml:space="preserve"> as their activities are performed </w:t>
      </w:r>
      <w:r w:rsidR="00643C99" w:rsidRPr="00721C11">
        <w:t>within</w:t>
      </w:r>
      <w:r w:rsidR="004A7EBA" w:rsidRPr="00721C11">
        <w:t xml:space="preserve"> </w:t>
      </w:r>
      <w:r w:rsidRPr="00721C11">
        <w:t xml:space="preserve">facilities </w:t>
      </w:r>
      <w:r w:rsidR="005A690A" w:rsidRPr="00721C11">
        <w:t>under</w:t>
      </w:r>
      <w:r w:rsidR="00643C99" w:rsidRPr="00721C11">
        <w:t xml:space="preserve"> Buyer</w:t>
      </w:r>
      <w:r w:rsidR="00107023" w:rsidRPr="00721C11">
        <w:t xml:space="preserve"> </w:t>
      </w:r>
      <w:r w:rsidRPr="00721C11">
        <w:t xml:space="preserve">Group responsibility, or </w:t>
      </w:r>
      <w:r w:rsidR="004A7EBA" w:rsidRPr="00721C11">
        <w:t xml:space="preserve">at </w:t>
      </w:r>
      <w:r w:rsidR="00643C99" w:rsidRPr="00721C11">
        <w:t xml:space="preserve">the facilities of </w:t>
      </w:r>
      <w:r w:rsidRPr="00721C11">
        <w:t xml:space="preserve">third parties </w:t>
      </w:r>
      <w:r w:rsidR="00643C99" w:rsidRPr="00721C11">
        <w:t xml:space="preserve">at the </w:t>
      </w:r>
      <w:r w:rsidRPr="00721C11">
        <w:t xml:space="preserve">service of </w:t>
      </w:r>
      <w:r w:rsidR="00643C99" w:rsidRPr="00721C11">
        <w:t>Buyer</w:t>
      </w:r>
      <w:r w:rsidR="00107023" w:rsidRPr="00721C11">
        <w:t>.</w:t>
      </w:r>
    </w:p>
    <w:p w14:paraId="36DDE8B0" w14:textId="77777777" w:rsidR="00853A46" w:rsidRDefault="00075B24" w:rsidP="004519A3">
      <w:pPr>
        <w:pStyle w:val="texto4"/>
      </w:pPr>
      <w:r w:rsidRPr="00721C11">
        <w:t>The amount insured shall be at least R$</w:t>
      </w:r>
      <w:r w:rsidR="00A0708D" w:rsidRPr="00721C11">
        <w:t xml:space="preserve"> </w:t>
      </w:r>
      <w:proofErr w:type="gramStart"/>
      <w:r w:rsidR="00A0708D" w:rsidRPr="00721C11">
        <w:t>1.000</w:t>
      </w:r>
      <w:r w:rsidRPr="00721C11">
        <w:t>.000,00</w:t>
      </w:r>
      <w:proofErr w:type="gramEnd"/>
      <w:r w:rsidRPr="00721C11">
        <w:t xml:space="preserve"> (</w:t>
      </w:r>
      <w:r w:rsidR="00A0708D" w:rsidRPr="00721C11">
        <w:t xml:space="preserve">one million </w:t>
      </w:r>
      <w:proofErr w:type="gramStart"/>
      <w:r w:rsidRPr="00721C11">
        <w:t>Reais),</w:t>
      </w:r>
      <w:proofErr w:type="gramEnd"/>
      <w:r w:rsidRPr="00721C11">
        <w:t xml:space="preserve"> per </w:t>
      </w:r>
      <w:r w:rsidR="00B70827" w:rsidRPr="00721C11">
        <w:t>person</w:t>
      </w:r>
      <w:r w:rsidRPr="00721C11">
        <w:t>.</w:t>
      </w:r>
    </w:p>
    <w:p w14:paraId="7A347110" w14:textId="77777777" w:rsidR="00075B24" w:rsidRPr="00BB7133" w:rsidRDefault="004519A3" w:rsidP="004519A3">
      <w:pPr>
        <w:pStyle w:val="texto3"/>
        <w:rPr>
          <w:lang w:val="pt-BR"/>
        </w:rPr>
      </w:pPr>
      <w:proofErr w:type="spellStart"/>
      <w:r w:rsidRPr="00BB7133">
        <w:rPr>
          <w:lang w:val="pt-BR"/>
        </w:rPr>
        <w:t>Automobile</w:t>
      </w:r>
      <w:proofErr w:type="spellEnd"/>
      <w:r w:rsidRPr="00BB7133">
        <w:rPr>
          <w:lang w:val="pt-BR"/>
        </w:rPr>
        <w:t xml:space="preserve"> </w:t>
      </w:r>
      <w:proofErr w:type="spellStart"/>
      <w:r w:rsidRPr="00BB7133">
        <w:rPr>
          <w:lang w:val="pt-BR"/>
        </w:rPr>
        <w:t>liability</w:t>
      </w:r>
      <w:proofErr w:type="spellEnd"/>
      <w:r w:rsidRPr="00BB7133">
        <w:rPr>
          <w:lang w:val="pt-BR"/>
        </w:rPr>
        <w:t xml:space="preserve"> </w:t>
      </w:r>
      <w:proofErr w:type="spellStart"/>
      <w:r w:rsidRPr="00BB7133">
        <w:rPr>
          <w:lang w:val="pt-BR"/>
        </w:rPr>
        <w:t>insurance</w:t>
      </w:r>
      <w:proofErr w:type="spellEnd"/>
      <w:r w:rsidRPr="00BB7133">
        <w:rPr>
          <w:lang w:val="pt-BR"/>
        </w:rPr>
        <w:t xml:space="preserve"> </w:t>
      </w:r>
      <w:r w:rsidR="003E5B44" w:rsidRPr="00BB7133">
        <w:rPr>
          <w:lang w:val="pt-BR"/>
        </w:rPr>
        <w:t>(</w:t>
      </w:r>
      <w:r w:rsidR="001B79EC" w:rsidRPr="00BB7133">
        <w:rPr>
          <w:lang w:val="pt-BR"/>
        </w:rPr>
        <w:t>Seguro de Responsabilidade Civil do Transportador de Pessoas</w:t>
      </w:r>
      <w:r w:rsidR="00B02124" w:rsidRPr="00BB7133">
        <w:rPr>
          <w:lang w:val="pt-BR"/>
        </w:rPr>
        <w:t>)</w:t>
      </w:r>
      <w:r w:rsidR="00DF7ADC" w:rsidRPr="00BB7133">
        <w:rPr>
          <w:lang w:val="pt-BR"/>
        </w:rPr>
        <w:t xml:space="preserve">, </w:t>
      </w:r>
      <w:proofErr w:type="spellStart"/>
      <w:r w:rsidR="00DF7ADC" w:rsidRPr="00BB7133">
        <w:rPr>
          <w:lang w:val="pt-BR"/>
        </w:rPr>
        <w:t>if</w:t>
      </w:r>
      <w:proofErr w:type="spellEnd"/>
      <w:r w:rsidR="00DF7ADC" w:rsidRPr="00BB7133">
        <w:rPr>
          <w:lang w:val="pt-BR"/>
        </w:rPr>
        <w:t xml:space="preserve"> </w:t>
      </w:r>
      <w:proofErr w:type="spellStart"/>
      <w:r w:rsidR="00DF7ADC" w:rsidRPr="00BB7133">
        <w:rPr>
          <w:lang w:val="pt-BR"/>
        </w:rPr>
        <w:t>applicable</w:t>
      </w:r>
      <w:proofErr w:type="spellEnd"/>
      <w:r w:rsidR="00E5793B" w:rsidRPr="00BB7133">
        <w:rPr>
          <w:lang w:val="pt-BR"/>
        </w:rPr>
        <w:t>.</w:t>
      </w:r>
    </w:p>
    <w:p w14:paraId="48E27DCE" w14:textId="77777777" w:rsidR="00075B24" w:rsidRPr="004519A3" w:rsidRDefault="00643C99" w:rsidP="004519A3">
      <w:pPr>
        <w:pStyle w:val="texto4"/>
      </w:pPr>
      <w:r w:rsidRPr="004519A3">
        <w:t xml:space="preserve">Seller </w:t>
      </w:r>
      <w:r w:rsidR="00075B24" w:rsidRPr="004519A3">
        <w:t>shall provide coverage fo</w:t>
      </w:r>
      <w:r w:rsidR="002E39B4" w:rsidRPr="004519A3">
        <w:t xml:space="preserve">r losses and </w:t>
      </w:r>
      <w:proofErr w:type="gramStart"/>
      <w:r w:rsidR="002E39B4" w:rsidRPr="004519A3">
        <w:t>damages</w:t>
      </w:r>
      <w:proofErr w:type="gramEnd"/>
      <w:r w:rsidR="002E39B4" w:rsidRPr="004519A3">
        <w:t xml:space="preserve"> caused by </w:t>
      </w:r>
      <w:r w:rsidR="00075B24" w:rsidRPr="004519A3">
        <w:t xml:space="preserve">owned, non-owned and hired vehicles to be used during the performance of the </w:t>
      </w:r>
      <w:r w:rsidRPr="004519A3">
        <w:t>scope of supply</w:t>
      </w:r>
      <w:r w:rsidR="00075B24" w:rsidRPr="004519A3">
        <w:t>.</w:t>
      </w:r>
    </w:p>
    <w:p w14:paraId="34011F94" w14:textId="77777777" w:rsidR="00075B24" w:rsidRPr="004519A3" w:rsidRDefault="00075B24" w:rsidP="004519A3">
      <w:pPr>
        <w:pStyle w:val="texto4"/>
      </w:pPr>
      <w:r w:rsidRPr="004519A3">
        <w:t>The limit of such liability shall not be less than</w:t>
      </w:r>
      <w:r w:rsidR="002E39B4" w:rsidRPr="004519A3">
        <w:t xml:space="preserve"> R$</w:t>
      </w:r>
      <w:r w:rsidR="001B79EC" w:rsidRPr="004519A3">
        <w:t xml:space="preserve"> </w:t>
      </w:r>
      <w:proofErr w:type="gramStart"/>
      <w:r w:rsidR="001B79EC" w:rsidRPr="004519A3">
        <w:t>1.0</w:t>
      </w:r>
      <w:r w:rsidR="002E39B4" w:rsidRPr="004519A3">
        <w:t>00.000,</w:t>
      </w:r>
      <w:r w:rsidRPr="004519A3">
        <w:t>00</w:t>
      </w:r>
      <w:proofErr w:type="gramEnd"/>
      <w:r w:rsidRPr="004519A3">
        <w:t xml:space="preserve"> per occurrence for Bodily Injury and R$</w:t>
      </w:r>
      <w:proofErr w:type="gramStart"/>
      <w:r w:rsidRPr="004519A3">
        <w:t>100.000,00</w:t>
      </w:r>
      <w:proofErr w:type="gramEnd"/>
      <w:r w:rsidRPr="004519A3">
        <w:t xml:space="preserve"> </w:t>
      </w:r>
      <w:r w:rsidR="001B79EC" w:rsidRPr="004519A3">
        <w:t xml:space="preserve">and on the annual total. </w:t>
      </w:r>
      <w:r w:rsidRPr="004519A3">
        <w:t>per occurrence for Property Damage.</w:t>
      </w:r>
    </w:p>
    <w:p w14:paraId="2A253F24" w14:textId="77777777" w:rsidR="003E5B44" w:rsidRPr="004519A3" w:rsidRDefault="00643C99" w:rsidP="004519A3">
      <w:pPr>
        <w:pStyle w:val="texto3"/>
        <w:rPr>
          <w:lang w:val="pt-BR"/>
        </w:rPr>
      </w:pPr>
      <w:proofErr w:type="spellStart"/>
      <w:r w:rsidRPr="004519A3">
        <w:rPr>
          <w:lang w:val="pt-BR"/>
        </w:rPr>
        <w:t>SELLER’</w:t>
      </w:r>
      <w:r w:rsidR="004519A3">
        <w:rPr>
          <w:lang w:val="pt-BR"/>
        </w:rPr>
        <w:t>s</w:t>
      </w:r>
      <w:proofErr w:type="spellEnd"/>
      <w:r w:rsidRPr="004519A3">
        <w:rPr>
          <w:lang w:val="pt-BR"/>
        </w:rPr>
        <w:t xml:space="preserve"> </w:t>
      </w:r>
      <w:proofErr w:type="spellStart"/>
      <w:r w:rsidR="004519A3" w:rsidRPr="004519A3">
        <w:rPr>
          <w:lang w:val="pt-BR"/>
        </w:rPr>
        <w:t>plant</w:t>
      </w:r>
      <w:proofErr w:type="spellEnd"/>
      <w:r w:rsidR="004519A3" w:rsidRPr="004519A3">
        <w:rPr>
          <w:lang w:val="pt-BR"/>
        </w:rPr>
        <w:t xml:space="preserve"> </w:t>
      </w:r>
      <w:proofErr w:type="spellStart"/>
      <w:r w:rsidR="004519A3" w:rsidRPr="004519A3">
        <w:rPr>
          <w:lang w:val="pt-BR"/>
        </w:rPr>
        <w:t>and</w:t>
      </w:r>
      <w:proofErr w:type="spellEnd"/>
      <w:r w:rsidR="004519A3" w:rsidRPr="004519A3">
        <w:rPr>
          <w:lang w:val="pt-BR"/>
        </w:rPr>
        <w:t xml:space="preserve"> </w:t>
      </w:r>
      <w:proofErr w:type="spellStart"/>
      <w:r w:rsidR="004519A3" w:rsidRPr="004519A3">
        <w:rPr>
          <w:lang w:val="pt-BR"/>
        </w:rPr>
        <w:t>machinery</w:t>
      </w:r>
      <w:proofErr w:type="spellEnd"/>
      <w:r w:rsidR="004519A3" w:rsidRPr="004519A3">
        <w:rPr>
          <w:lang w:val="pt-BR"/>
        </w:rPr>
        <w:t xml:space="preserve"> </w:t>
      </w:r>
      <w:proofErr w:type="spellStart"/>
      <w:r w:rsidR="004519A3" w:rsidRPr="004519A3">
        <w:rPr>
          <w:lang w:val="pt-BR"/>
        </w:rPr>
        <w:t>insurance</w:t>
      </w:r>
      <w:proofErr w:type="spellEnd"/>
      <w:r w:rsidR="004519A3" w:rsidRPr="004519A3">
        <w:rPr>
          <w:lang w:val="pt-BR"/>
        </w:rPr>
        <w:t xml:space="preserve"> </w:t>
      </w:r>
      <w:r w:rsidR="003E5B44" w:rsidRPr="004519A3">
        <w:rPr>
          <w:lang w:val="pt-BR"/>
        </w:rPr>
        <w:t>(Seguro de Riscos Diversos – Equipamentos Móveis e/ou Estacionários)</w:t>
      </w:r>
      <w:r w:rsidR="00DF7ADC" w:rsidRPr="004519A3">
        <w:rPr>
          <w:lang w:val="pt-BR"/>
        </w:rPr>
        <w:t xml:space="preserve">, </w:t>
      </w:r>
      <w:proofErr w:type="spellStart"/>
      <w:r w:rsidR="00DF7ADC" w:rsidRPr="004519A3">
        <w:rPr>
          <w:lang w:val="pt-BR"/>
        </w:rPr>
        <w:t>if</w:t>
      </w:r>
      <w:proofErr w:type="spellEnd"/>
      <w:r w:rsidR="00DF7ADC" w:rsidRPr="004519A3">
        <w:rPr>
          <w:lang w:val="pt-BR"/>
        </w:rPr>
        <w:t xml:space="preserve"> </w:t>
      </w:r>
      <w:proofErr w:type="spellStart"/>
      <w:r w:rsidR="00DF7ADC" w:rsidRPr="004519A3">
        <w:rPr>
          <w:lang w:val="pt-BR"/>
        </w:rPr>
        <w:t>applicable</w:t>
      </w:r>
      <w:proofErr w:type="spellEnd"/>
      <w:r w:rsidR="00E5793B" w:rsidRPr="004519A3">
        <w:rPr>
          <w:lang w:val="pt-BR"/>
        </w:rPr>
        <w:t>.</w:t>
      </w:r>
    </w:p>
    <w:p w14:paraId="71F421C4" w14:textId="77777777" w:rsidR="00721C11" w:rsidRPr="00721C11" w:rsidRDefault="00853A46" w:rsidP="004519A3">
      <w:pPr>
        <w:pStyle w:val="texto4"/>
        <w:rPr>
          <w:color w:val="000000"/>
        </w:rPr>
      </w:pPr>
      <w:r w:rsidRPr="00721C11">
        <w:t xml:space="preserve">Insurance to cover material damages </w:t>
      </w:r>
      <w:r w:rsidR="00643C99" w:rsidRPr="00721C11">
        <w:t xml:space="preserve">to the Seller’s </w:t>
      </w:r>
      <w:r w:rsidRPr="00721C11">
        <w:t>machinery and equipment specifically mobilized at the locations where services are executed, with an indemnification limit equal to the replacement value of the machinery and equipment at the same locations.</w:t>
      </w:r>
    </w:p>
    <w:p w14:paraId="3DC0464D" w14:textId="77777777" w:rsidR="00853A46" w:rsidRDefault="00853A46" w:rsidP="004519A3">
      <w:pPr>
        <w:pStyle w:val="texto4"/>
      </w:pPr>
      <w:r w:rsidRPr="00721C11">
        <w:lastRenderedPageBreak/>
        <w:t xml:space="preserve">This item only applies when machines and equipment are </w:t>
      </w:r>
      <w:r w:rsidR="00643C99" w:rsidRPr="00721C11">
        <w:t>located within Buyer’s</w:t>
      </w:r>
      <w:r w:rsidRPr="00721C11">
        <w:t xml:space="preserve"> premises or </w:t>
      </w:r>
      <w:r w:rsidR="00643C99" w:rsidRPr="00721C11">
        <w:t>within</w:t>
      </w:r>
      <w:r w:rsidRPr="00721C11">
        <w:t xml:space="preserve"> facilities of third parties at the service of </w:t>
      </w:r>
      <w:r w:rsidR="00643C99" w:rsidRPr="00721C11">
        <w:t>Buyer</w:t>
      </w:r>
      <w:r w:rsidRPr="00721C11">
        <w:t>.</w:t>
      </w:r>
    </w:p>
    <w:p w14:paraId="1455D99B" w14:textId="77777777" w:rsidR="003E5B44" w:rsidRPr="004519A3" w:rsidRDefault="00EF0AD6" w:rsidP="004519A3">
      <w:pPr>
        <w:pStyle w:val="texto3"/>
      </w:pPr>
      <w:r w:rsidRPr="004519A3">
        <w:t>Activities in marine environments</w:t>
      </w:r>
    </w:p>
    <w:p w14:paraId="3C89DCC9" w14:textId="77777777" w:rsidR="004519A3" w:rsidRPr="00721C11" w:rsidRDefault="00643C99" w:rsidP="004519A3">
      <w:pPr>
        <w:autoSpaceDE w:val="0"/>
        <w:autoSpaceDN w:val="0"/>
        <w:adjustRightInd w:val="0"/>
        <w:spacing w:before="0" w:after="240"/>
        <w:jc w:val="both"/>
        <w:rPr>
          <w:rFonts w:cs="Arial"/>
          <w:lang w:val="en-US"/>
        </w:rPr>
      </w:pPr>
      <w:r w:rsidRPr="00721C11">
        <w:rPr>
          <w:rFonts w:cs="Arial"/>
          <w:lang w:val="en-US"/>
        </w:rPr>
        <w:t xml:space="preserve">Seller shall maintain in full force and effect, throughout all such periods of the </w:t>
      </w:r>
      <w:r w:rsidR="00B70827" w:rsidRPr="00721C11">
        <w:rPr>
          <w:rFonts w:cs="Arial"/>
          <w:lang w:val="en-US"/>
        </w:rPr>
        <w:t xml:space="preserve">Agreement </w:t>
      </w:r>
      <w:r w:rsidRPr="00721C11">
        <w:rPr>
          <w:rFonts w:cs="Arial"/>
          <w:lang w:val="en-US"/>
        </w:rPr>
        <w:t>term when the services to be provided involve the use of marine/fluvial resources and/or are performed in marine/fluvial settings, the following insurance policies covering all vessels or other floating equipment owned, leased or hired by the Seller:</w:t>
      </w:r>
    </w:p>
    <w:p w14:paraId="0FE7DDD2" w14:textId="77777777" w:rsidR="004F093A" w:rsidRPr="004519A3" w:rsidRDefault="004519A3" w:rsidP="004519A3">
      <w:pPr>
        <w:pStyle w:val="texto4"/>
      </w:pPr>
      <w:r w:rsidRPr="004519A3">
        <w:t>Personal damage insurance caused by vessels or their cargo</w:t>
      </w:r>
      <w:r w:rsidR="00967894" w:rsidRPr="004519A3">
        <w:t xml:space="preserve"> (</w:t>
      </w:r>
      <w:r w:rsidR="00577F15" w:rsidRPr="004519A3">
        <w:t>B</w:t>
      </w:r>
      <w:r w:rsidR="00967894" w:rsidRPr="004519A3">
        <w:t>razilian acronym DPEM)</w:t>
      </w:r>
    </w:p>
    <w:p w14:paraId="4D3569C0" w14:textId="77777777" w:rsidR="00721C11" w:rsidRPr="00721C11" w:rsidRDefault="00967894" w:rsidP="004519A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2.2.6.1.1</w:t>
      </w:r>
      <w:r w:rsidRPr="00721C11">
        <w:rPr>
          <w:rFonts w:cs="Arial"/>
          <w:lang w:val="en-US"/>
        </w:rPr>
        <w:tab/>
      </w:r>
      <w:r w:rsidR="001B79EC" w:rsidRPr="00721C11">
        <w:rPr>
          <w:rFonts w:cs="Arial"/>
          <w:lang w:val="en-US"/>
        </w:rPr>
        <w:t>Regarding the vessels potentially used in the scope of supply, the responsibility for contracting and maintaining the DPEM Insurance will lie with the seller.</w:t>
      </w:r>
    </w:p>
    <w:p w14:paraId="1526C7E4" w14:textId="77777777" w:rsidR="00721C11" w:rsidRPr="00721C11" w:rsidRDefault="001B79EC" w:rsidP="004519A3">
      <w:pPr>
        <w:tabs>
          <w:tab w:val="left" w:pos="1134"/>
        </w:tabs>
        <w:autoSpaceDE w:val="0"/>
        <w:autoSpaceDN w:val="0"/>
        <w:adjustRightInd w:val="0"/>
        <w:spacing w:before="0" w:after="240"/>
        <w:ind w:left="2127" w:hanging="1134"/>
        <w:jc w:val="both"/>
        <w:outlineLvl w:val="3"/>
        <w:rPr>
          <w:rFonts w:cs="Arial"/>
          <w:lang w:val="en-US"/>
        </w:rPr>
      </w:pPr>
      <w:proofErr w:type="gramStart"/>
      <w:r w:rsidRPr="00721C11">
        <w:rPr>
          <w:rFonts w:cs="Arial"/>
          <w:lang w:val="en-US"/>
        </w:rPr>
        <w:t>2.2.6.1.2 From</w:t>
      </w:r>
      <w:proofErr w:type="gramEnd"/>
      <w:r w:rsidRPr="00721C11">
        <w:rPr>
          <w:rFonts w:cs="Arial"/>
          <w:lang w:val="en-US"/>
        </w:rPr>
        <w:t xml:space="preserve"> the moment the FPSO (Floating Production Storage and Offloading) is owned by Petrobras, Petrobras will be responsible for contracting and maintaining </w:t>
      </w:r>
      <w:proofErr w:type="gramStart"/>
      <w:r w:rsidRPr="00721C11">
        <w:rPr>
          <w:rFonts w:cs="Arial"/>
          <w:lang w:val="en-US"/>
        </w:rPr>
        <w:t>the DPEM</w:t>
      </w:r>
      <w:proofErr w:type="gramEnd"/>
      <w:r w:rsidRPr="00721C11">
        <w:rPr>
          <w:rFonts w:cs="Arial"/>
          <w:lang w:val="en-US"/>
        </w:rPr>
        <w:t xml:space="preserve"> Insurance.</w:t>
      </w:r>
    </w:p>
    <w:p w14:paraId="0BCF20D7" w14:textId="77777777" w:rsidR="00721C11" w:rsidRPr="004519A3" w:rsidRDefault="004519A3" w:rsidP="004519A3">
      <w:pPr>
        <w:pStyle w:val="texto4"/>
        <w:rPr>
          <w:rFonts w:cs="Arial"/>
        </w:rPr>
      </w:pPr>
      <w:r w:rsidRPr="00721C11">
        <w:t>Hull and machinery insurance</w:t>
      </w:r>
      <w:r w:rsidR="003E5B44" w:rsidRPr="00721C11">
        <w:t xml:space="preserve"> with an insured amount </w:t>
      </w:r>
      <w:r w:rsidR="00643C99" w:rsidRPr="00721C11">
        <w:t>equal to at least</w:t>
      </w:r>
      <w:r w:rsidR="003E5B44" w:rsidRPr="00721C11">
        <w:t xml:space="preserve"> the actual value of the vessel</w:t>
      </w:r>
      <w:r w:rsidR="00643C99" w:rsidRPr="00721C11">
        <w:t xml:space="preserve"> and/or machinery and complying</w:t>
      </w:r>
      <w:r w:rsidR="003E5B44" w:rsidRPr="00721C11">
        <w:t xml:space="preserve"> with Brazilian Marine Hull Conditions “</w:t>
      </w:r>
      <w:proofErr w:type="spellStart"/>
      <w:r w:rsidR="003E5B44" w:rsidRPr="00721C11">
        <w:t>Básica</w:t>
      </w:r>
      <w:proofErr w:type="spellEnd"/>
      <w:r w:rsidR="003E5B44" w:rsidRPr="00721C11">
        <w:t xml:space="preserve"> nº </w:t>
      </w:r>
      <w:smartTag w:uri="urn:schemas-microsoft-com:office:smarttags" w:element="metricconverter">
        <w:smartTagPr>
          <w:attr w:name="ProductID" w:val="3”"/>
        </w:smartTagPr>
        <w:r w:rsidR="003E5B44" w:rsidRPr="00721C11">
          <w:t>3”</w:t>
        </w:r>
      </w:smartTag>
      <w:r w:rsidR="003E5B44" w:rsidRPr="00721C11">
        <w:t xml:space="preserve"> or simi</w:t>
      </w:r>
      <w:r w:rsidR="0025617E" w:rsidRPr="00721C11">
        <w:t>lar.</w:t>
      </w:r>
    </w:p>
    <w:p w14:paraId="242B95A0" w14:textId="77777777" w:rsidR="0025617E" w:rsidRDefault="004F093A" w:rsidP="004519A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2.2.6.2.1</w:t>
      </w:r>
      <w:r w:rsidR="00853A46" w:rsidRPr="00721C11">
        <w:rPr>
          <w:rFonts w:cs="Arial"/>
          <w:lang w:val="en-US"/>
        </w:rPr>
        <w:tab/>
      </w:r>
      <w:r w:rsidR="0025617E" w:rsidRPr="00721C11">
        <w:rPr>
          <w:rFonts w:cs="Arial"/>
          <w:lang w:val="en-US"/>
        </w:rPr>
        <w:t>Collision Liabilities shall be 4/4</w:t>
      </w:r>
      <w:r w:rsidR="005B2B14" w:rsidRPr="00721C11">
        <w:rPr>
          <w:rFonts w:cs="Arial"/>
          <w:lang w:val="en-US"/>
        </w:rPr>
        <w:t>,</w:t>
      </w:r>
      <w:r w:rsidR="0025617E" w:rsidRPr="00721C11">
        <w:rPr>
          <w:rFonts w:cs="Arial"/>
          <w:lang w:val="en-US"/>
        </w:rPr>
        <w:t xml:space="preserve"> with total covered under one or both sub-items </w:t>
      </w:r>
      <w:r w:rsidRPr="00721C11">
        <w:rPr>
          <w:rFonts w:cs="Arial"/>
          <w:lang w:val="en-US"/>
        </w:rPr>
        <w:t>2.2.6.1</w:t>
      </w:r>
      <w:r w:rsidR="0025617E" w:rsidRPr="00721C11">
        <w:rPr>
          <w:rFonts w:cs="Arial"/>
          <w:lang w:val="en-US"/>
        </w:rPr>
        <w:t xml:space="preserve"> and </w:t>
      </w:r>
      <w:r w:rsidRPr="00721C11">
        <w:rPr>
          <w:rFonts w:cs="Arial"/>
          <w:lang w:val="en-US"/>
        </w:rPr>
        <w:t>2.2.</w:t>
      </w:r>
      <w:proofErr w:type="gramStart"/>
      <w:r w:rsidRPr="00721C11">
        <w:rPr>
          <w:rFonts w:cs="Arial"/>
          <w:lang w:val="en-US"/>
        </w:rPr>
        <w:t>6.2</w:t>
      </w:r>
      <w:proofErr w:type="gramEnd"/>
      <w:r w:rsidR="0025617E" w:rsidRPr="00721C11">
        <w:rPr>
          <w:rFonts w:cs="Arial"/>
          <w:lang w:val="en-US"/>
        </w:rPr>
        <w:t>.</w:t>
      </w:r>
    </w:p>
    <w:p w14:paraId="3717D379" w14:textId="77777777" w:rsidR="0025617E" w:rsidRPr="004519A3" w:rsidRDefault="004519A3" w:rsidP="004519A3">
      <w:pPr>
        <w:pStyle w:val="texto4"/>
      </w:pPr>
      <w:r w:rsidRPr="004519A3">
        <w:t>Protection &amp; indemnity</w:t>
      </w:r>
    </w:p>
    <w:p w14:paraId="28189336" w14:textId="77777777" w:rsidR="00853A46" w:rsidRDefault="004F093A" w:rsidP="004519A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2.2.6.3.1</w:t>
      </w:r>
      <w:r w:rsidR="00847C94" w:rsidRPr="00721C11">
        <w:rPr>
          <w:rFonts w:cs="Arial"/>
          <w:lang w:val="en-US"/>
        </w:rPr>
        <w:tab/>
      </w:r>
      <w:r w:rsidR="004519A3">
        <w:rPr>
          <w:rFonts w:cs="Arial"/>
          <w:lang w:val="en-US"/>
        </w:rPr>
        <w:t>P</w:t>
      </w:r>
      <w:r w:rsidR="004519A3" w:rsidRPr="00721C11">
        <w:rPr>
          <w:rFonts w:cs="Arial"/>
          <w:lang w:val="en-US"/>
        </w:rPr>
        <w:t>rotection &amp; indemnity</w:t>
      </w:r>
      <w:r w:rsidR="003E5B44" w:rsidRPr="00721C11">
        <w:rPr>
          <w:rFonts w:cs="Arial"/>
          <w:lang w:val="en-US"/>
        </w:rPr>
        <w:t xml:space="preserve"> placed with a member of the International Group of P&amp;I Clubs, or with insurers, </w:t>
      </w:r>
      <w:r w:rsidR="00643C99" w:rsidRPr="00721C11">
        <w:rPr>
          <w:rFonts w:cs="Arial"/>
          <w:lang w:val="en-US"/>
        </w:rPr>
        <w:t xml:space="preserve">covering </w:t>
      </w:r>
      <w:r w:rsidR="003E5B44" w:rsidRPr="00721C11">
        <w:rPr>
          <w:rFonts w:cs="Arial"/>
          <w:lang w:val="en-US"/>
        </w:rPr>
        <w:t xml:space="preserve">wreck and debris removal and oil pollution liability in respect of all vessels, crafts or floating equipment owned, leased or hired by the </w:t>
      </w:r>
      <w:r w:rsidR="00643C99" w:rsidRPr="00721C11">
        <w:rPr>
          <w:rFonts w:cs="Arial"/>
          <w:lang w:val="en-US"/>
        </w:rPr>
        <w:t xml:space="preserve">Seller </w:t>
      </w:r>
      <w:r w:rsidR="003E5B44" w:rsidRPr="00721C11">
        <w:rPr>
          <w:rFonts w:cs="Arial"/>
          <w:lang w:val="en-US"/>
        </w:rPr>
        <w:t xml:space="preserve">in the performance of the </w:t>
      </w:r>
      <w:r w:rsidR="00B70827" w:rsidRPr="00721C11">
        <w:rPr>
          <w:rFonts w:cs="Arial"/>
          <w:lang w:val="en-US"/>
        </w:rPr>
        <w:t>Agreement</w:t>
      </w:r>
      <w:r w:rsidR="003E5B44" w:rsidRPr="00721C11">
        <w:rPr>
          <w:rFonts w:cs="Arial"/>
          <w:lang w:val="en-US"/>
        </w:rPr>
        <w:t>.</w:t>
      </w:r>
    </w:p>
    <w:p w14:paraId="51D458AE" w14:textId="77777777" w:rsidR="003E5B44" w:rsidRDefault="004F093A" w:rsidP="004519A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2.2.6.3.2</w:t>
      </w:r>
      <w:r w:rsidR="00853A46" w:rsidRPr="00721C11">
        <w:rPr>
          <w:rFonts w:cs="Arial"/>
          <w:lang w:val="en-US"/>
        </w:rPr>
        <w:tab/>
      </w:r>
      <w:r w:rsidR="003E5B44" w:rsidRPr="00721C11">
        <w:rPr>
          <w:rFonts w:cs="Arial"/>
          <w:lang w:val="en-US"/>
        </w:rPr>
        <w:t xml:space="preserve">If insurance </w:t>
      </w:r>
      <w:r w:rsidR="00643C99" w:rsidRPr="00721C11">
        <w:rPr>
          <w:rFonts w:cs="Arial"/>
          <w:lang w:val="en-US"/>
        </w:rPr>
        <w:t xml:space="preserve">cover is </w:t>
      </w:r>
      <w:r w:rsidR="003E5B44" w:rsidRPr="00721C11">
        <w:rPr>
          <w:rFonts w:cs="Arial"/>
          <w:lang w:val="en-US"/>
        </w:rPr>
        <w:t xml:space="preserve">obtained </w:t>
      </w:r>
      <w:r w:rsidR="00643C99" w:rsidRPr="00721C11">
        <w:rPr>
          <w:rFonts w:cs="Arial"/>
          <w:lang w:val="en-US"/>
        </w:rPr>
        <w:t>from</w:t>
      </w:r>
      <w:r w:rsidR="003E5B44" w:rsidRPr="00721C11">
        <w:rPr>
          <w:rFonts w:cs="Arial"/>
          <w:lang w:val="en-US"/>
        </w:rPr>
        <w:t xml:space="preserve"> a Brazilian insurance company the coverage shall be at least as per “</w:t>
      </w:r>
      <w:proofErr w:type="spellStart"/>
      <w:r w:rsidR="003E5B44" w:rsidRPr="00721C11">
        <w:rPr>
          <w:rFonts w:cs="Arial"/>
          <w:lang w:val="en-US"/>
        </w:rPr>
        <w:t>Cobertura</w:t>
      </w:r>
      <w:proofErr w:type="spellEnd"/>
      <w:r w:rsidR="003E5B44" w:rsidRPr="00721C11">
        <w:rPr>
          <w:rFonts w:cs="Arial"/>
          <w:lang w:val="en-US"/>
        </w:rPr>
        <w:t xml:space="preserve"> Especial </w:t>
      </w:r>
      <w:r w:rsidR="00853A46" w:rsidRPr="00721C11">
        <w:rPr>
          <w:rFonts w:cs="Arial"/>
          <w:lang w:val="en-US"/>
        </w:rPr>
        <w:t>n</w:t>
      </w:r>
      <w:r w:rsidR="003E5B44" w:rsidRPr="00721C11">
        <w:rPr>
          <w:rFonts w:cs="Arial"/>
          <w:lang w:val="en-US"/>
        </w:rPr>
        <w:t>º 8 –</w:t>
      </w:r>
      <w:r w:rsidR="00140CA4" w:rsidRPr="00721C11">
        <w:rPr>
          <w:rFonts w:cs="Arial"/>
          <w:lang w:val="en-US"/>
        </w:rPr>
        <w:t xml:space="preserve"> </w:t>
      </w:r>
      <w:proofErr w:type="spellStart"/>
      <w:r w:rsidR="003E5B44" w:rsidRPr="00721C11">
        <w:rPr>
          <w:rFonts w:cs="Arial"/>
          <w:lang w:val="en-US"/>
        </w:rPr>
        <w:t>Respons</w:t>
      </w:r>
      <w:r w:rsidR="00490C6E" w:rsidRPr="00721C11">
        <w:rPr>
          <w:rFonts w:cs="Arial"/>
          <w:lang w:val="en-US"/>
        </w:rPr>
        <w:t>a</w:t>
      </w:r>
      <w:r w:rsidR="003E5B44" w:rsidRPr="00721C11">
        <w:rPr>
          <w:rFonts w:cs="Arial"/>
          <w:lang w:val="en-US"/>
        </w:rPr>
        <w:t>bilidade</w:t>
      </w:r>
      <w:proofErr w:type="spellEnd"/>
      <w:r w:rsidR="003E5B44" w:rsidRPr="00721C11">
        <w:rPr>
          <w:rFonts w:cs="Arial"/>
          <w:lang w:val="en-US"/>
        </w:rPr>
        <w:t xml:space="preserve"> Civil P&amp;I”.</w:t>
      </w:r>
    </w:p>
    <w:p w14:paraId="5A5AF1C9" w14:textId="77777777" w:rsidR="003E5B44" w:rsidRPr="00721C11" w:rsidRDefault="004F093A" w:rsidP="004519A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2.2.6.3.3</w:t>
      </w:r>
      <w:r w:rsidR="00847C94" w:rsidRPr="00721C11">
        <w:rPr>
          <w:rFonts w:cs="Arial"/>
          <w:lang w:val="en-US"/>
        </w:rPr>
        <w:tab/>
      </w:r>
      <w:r w:rsidR="003E5B44" w:rsidRPr="00721C11">
        <w:rPr>
          <w:rFonts w:cs="Arial"/>
          <w:lang w:val="en-US"/>
        </w:rPr>
        <w:t xml:space="preserve">The amount selected by the </w:t>
      </w:r>
      <w:r w:rsidR="00643C99" w:rsidRPr="00721C11">
        <w:rPr>
          <w:rFonts w:cs="Arial"/>
          <w:lang w:val="en-US"/>
        </w:rPr>
        <w:t xml:space="preserve">Seller </w:t>
      </w:r>
      <w:r w:rsidR="003E5B44" w:rsidRPr="00721C11">
        <w:rPr>
          <w:rFonts w:cs="Arial"/>
          <w:lang w:val="en-US"/>
        </w:rPr>
        <w:t xml:space="preserve">for the coverage shall not limit </w:t>
      </w:r>
      <w:r w:rsidR="00643C99" w:rsidRPr="00721C11">
        <w:rPr>
          <w:rFonts w:cs="Arial"/>
          <w:lang w:val="en-US"/>
        </w:rPr>
        <w:t>Seller</w:t>
      </w:r>
      <w:r w:rsidR="003E5B44" w:rsidRPr="00721C11">
        <w:rPr>
          <w:rFonts w:cs="Arial"/>
          <w:lang w:val="en-US"/>
        </w:rPr>
        <w:t xml:space="preserve">’s liabilities </w:t>
      </w:r>
      <w:r w:rsidR="00643C99" w:rsidRPr="00721C11">
        <w:rPr>
          <w:rFonts w:cs="Arial"/>
          <w:lang w:val="en-US"/>
        </w:rPr>
        <w:t>with respect to</w:t>
      </w:r>
      <w:r w:rsidR="003E5B44" w:rsidRPr="00721C11">
        <w:rPr>
          <w:rFonts w:cs="Arial"/>
          <w:lang w:val="en-US"/>
        </w:rPr>
        <w:t xml:space="preserve"> third parties.</w:t>
      </w:r>
    </w:p>
    <w:p w14:paraId="6DFA9F68" w14:textId="77777777" w:rsidR="00316462" w:rsidRPr="004519A3" w:rsidRDefault="00643C99" w:rsidP="004519A3">
      <w:pPr>
        <w:pStyle w:val="Ttulo1"/>
      </w:pPr>
      <w:bookmarkStart w:id="42" w:name="_Toc217383397"/>
      <w:bookmarkStart w:id="43" w:name="_Toc217556404"/>
      <w:bookmarkStart w:id="44" w:name="_Toc282443808"/>
      <w:bookmarkStart w:id="45" w:name="_Toc313631315"/>
      <w:bookmarkStart w:id="46" w:name="_Toc179496579"/>
      <w:r w:rsidRPr="004519A3">
        <w:t xml:space="preserve">BUYER’S </w:t>
      </w:r>
      <w:r w:rsidR="00316462" w:rsidRPr="004519A3">
        <w:t>INSURANCE</w:t>
      </w:r>
      <w:bookmarkEnd w:id="42"/>
      <w:bookmarkEnd w:id="43"/>
      <w:bookmarkEnd w:id="44"/>
      <w:r w:rsidR="00316462" w:rsidRPr="004519A3">
        <w:t>S</w:t>
      </w:r>
      <w:bookmarkEnd w:id="45"/>
      <w:bookmarkEnd w:id="46"/>
    </w:p>
    <w:p w14:paraId="42C24E7E" w14:textId="77777777" w:rsidR="00C87A7B" w:rsidRPr="004519A3" w:rsidRDefault="00643C99" w:rsidP="004519A3">
      <w:pPr>
        <w:pStyle w:val="texto2"/>
      </w:pPr>
      <w:r w:rsidRPr="004519A3">
        <w:t xml:space="preserve">Buyer’s </w:t>
      </w:r>
      <w:r w:rsidR="001B79EC" w:rsidRPr="004519A3">
        <w:t>Construction / Engineering Risks (Construction All Risks) insurance coverage for offshore projects</w:t>
      </w:r>
      <w:r w:rsidR="001B79EC" w:rsidRPr="004519A3" w:rsidDel="001B79EC">
        <w:t xml:space="preserve"> </w:t>
      </w:r>
      <w:r w:rsidR="002F529E" w:rsidRPr="004519A3">
        <w:t xml:space="preserve">(Seguro de </w:t>
      </w:r>
      <w:proofErr w:type="spellStart"/>
      <w:r w:rsidR="002F529E" w:rsidRPr="004519A3">
        <w:t>Riscos</w:t>
      </w:r>
      <w:proofErr w:type="spellEnd"/>
      <w:r w:rsidR="002F529E" w:rsidRPr="004519A3">
        <w:t xml:space="preserve"> da </w:t>
      </w:r>
      <w:proofErr w:type="spellStart"/>
      <w:r w:rsidR="002F529E" w:rsidRPr="004519A3">
        <w:t>Construção</w:t>
      </w:r>
      <w:proofErr w:type="spellEnd"/>
      <w:r w:rsidR="002F529E" w:rsidRPr="004519A3">
        <w:t>)</w:t>
      </w:r>
    </w:p>
    <w:p w14:paraId="334A1F66" w14:textId="7C4E8268" w:rsidR="00316462" w:rsidRPr="004519A3" w:rsidRDefault="00643C99" w:rsidP="004519A3">
      <w:pPr>
        <w:pStyle w:val="texto3"/>
      </w:pPr>
      <w:proofErr w:type="gramStart"/>
      <w:r w:rsidRPr="004519A3">
        <w:lastRenderedPageBreak/>
        <w:t>Buyer</w:t>
      </w:r>
      <w:proofErr w:type="gramEnd"/>
      <w:r w:rsidR="00107023" w:rsidRPr="004519A3">
        <w:t xml:space="preserve"> </w:t>
      </w:r>
      <w:r w:rsidR="00316462" w:rsidRPr="004519A3">
        <w:t xml:space="preserve">will acquire and maintain </w:t>
      </w:r>
      <w:r w:rsidRPr="004519A3">
        <w:t xml:space="preserve">in full force and effect </w:t>
      </w:r>
      <w:r w:rsidR="00316462" w:rsidRPr="004519A3">
        <w:t xml:space="preserve">insurance against physical damages to all </w:t>
      </w:r>
      <w:r w:rsidR="00B14CBE">
        <w:t>i</w:t>
      </w:r>
      <w:r w:rsidR="00316462" w:rsidRPr="004519A3">
        <w:t xml:space="preserve">nstallations during the </w:t>
      </w:r>
      <w:r w:rsidRPr="004519A3">
        <w:t>execution of scope of supply</w:t>
      </w:r>
      <w:r w:rsidR="00316462" w:rsidRPr="004519A3">
        <w:t xml:space="preserve">, physical damages during cargo transits under all conveyances from origins to final destinations </w:t>
      </w:r>
      <w:proofErr w:type="gramStart"/>
      <w:r w:rsidR="00316462" w:rsidRPr="004519A3">
        <w:t>and also</w:t>
      </w:r>
      <w:proofErr w:type="gramEnd"/>
      <w:r w:rsidR="00316462" w:rsidRPr="004519A3">
        <w:t xml:space="preserve"> against property damages and bodily injuries to third parties during the execution of the </w:t>
      </w:r>
      <w:r w:rsidR="007155F0">
        <w:t>Agreement</w:t>
      </w:r>
      <w:r w:rsidR="00797962">
        <w:t xml:space="preserve">, </w:t>
      </w:r>
      <w:r w:rsidR="00177919" w:rsidRPr="00177919">
        <w:t xml:space="preserve">pursuant of </w:t>
      </w:r>
      <w:r w:rsidR="000D561F">
        <w:t>S</w:t>
      </w:r>
      <w:r w:rsidR="00177919" w:rsidRPr="00177919">
        <w:t>ection 3.1.7.4</w:t>
      </w:r>
      <w:r w:rsidR="00316462" w:rsidRPr="004519A3">
        <w:t>.</w:t>
      </w:r>
    </w:p>
    <w:p w14:paraId="3DA36DE9" w14:textId="77777777" w:rsidR="009646A9" w:rsidRPr="004519A3" w:rsidRDefault="00643C99" w:rsidP="004519A3">
      <w:pPr>
        <w:pStyle w:val="texto3"/>
      </w:pPr>
      <w:r w:rsidRPr="004519A3">
        <w:t xml:space="preserve">Seller </w:t>
      </w:r>
      <w:r w:rsidR="00C569C6" w:rsidRPr="004519A3">
        <w:t>shall</w:t>
      </w:r>
      <w:r w:rsidR="009646A9" w:rsidRPr="004519A3">
        <w:t xml:space="preserve"> </w:t>
      </w:r>
      <w:r w:rsidR="00C569C6" w:rsidRPr="004519A3">
        <w:t>assume</w:t>
      </w:r>
      <w:r w:rsidR="009646A9" w:rsidRPr="004519A3">
        <w:t xml:space="preserve"> the deductibles mentioned in the </w:t>
      </w:r>
      <w:r w:rsidR="00C569C6" w:rsidRPr="004519A3">
        <w:t xml:space="preserve">insurance </w:t>
      </w:r>
      <w:r w:rsidR="009646A9" w:rsidRPr="004519A3">
        <w:t>policy</w:t>
      </w:r>
      <w:r w:rsidR="00B007D8" w:rsidRPr="004519A3">
        <w:t>.</w:t>
      </w:r>
    </w:p>
    <w:p w14:paraId="41BC6607" w14:textId="77777777" w:rsidR="00316462" w:rsidRPr="004519A3" w:rsidRDefault="00316462" w:rsidP="004519A3">
      <w:pPr>
        <w:pStyle w:val="texto3"/>
      </w:pPr>
      <w:r w:rsidRPr="004519A3">
        <w:t xml:space="preserve">In case the Insurance Market </w:t>
      </w:r>
      <w:proofErr w:type="gramStart"/>
      <w:r w:rsidRPr="004519A3">
        <w:t>is not able to</w:t>
      </w:r>
      <w:proofErr w:type="gramEnd"/>
      <w:r w:rsidRPr="004519A3">
        <w:t xml:space="preserve"> </w:t>
      </w:r>
      <w:r w:rsidR="00643C99" w:rsidRPr="004519A3">
        <w:t xml:space="preserve">offer </w:t>
      </w:r>
      <w:r w:rsidRPr="004519A3">
        <w:t xml:space="preserve">some of the coverage parameters defined herein, </w:t>
      </w:r>
      <w:r w:rsidR="00643C99" w:rsidRPr="004519A3">
        <w:t xml:space="preserve">Buyer </w:t>
      </w:r>
      <w:r w:rsidRPr="004519A3">
        <w:t>will continue to be responsible for the obligations as under item 3.1.5 below</w:t>
      </w:r>
      <w:r w:rsidR="00643C99" w:rsidRPr="004519A3">
        <w:t>,</w:t>
      </w:r>
      <w:r w:rsidRPr="004519A3">
        <w:t xml:space="preserve"> and the </w:t>
      </w:r>
      <w:r w:rsidR="00643C99" w:rsidRPr="004519A3">
        <w:t>Seller</w:t>
      </w:r>
      <w:r w:rsidRPr="004519A3">
        <w:t xml:space="preserve"> shall not be entitled to any further indemnity or compensation of any kind resulting thereof.</w:t>
      </w:r>
    </w:p>
    <w:p w14:paraId="73A2E0F9" w14:textId="363D8503" w:rsidR="00316462" w:rsidRPr="004519A3" w:rsidRDefault="00316462" w:rsidP="004519A3">
      <w:pPr>
        <w:pStyle w:val="texto3"/>
      </w:pPr>
      <w:r w:rsidRPr="004519A3">
        <w:t xml:space="preserve">The provisions of item 3.1.1 shall solely apply when </w:t>
      </w:r>
      <w:r w:rsidR="000C0818" w:rsidRPr="004519A3">
        <w:t>a claim</w:t>
      </w:r>
      <w:r w:rsidRPr="004519A3">
        <w:t xml:space="preserve"> is covered by the Builders’ Risks Insurance</w:t>
      </w:r>
      <w:r w:rsidR="00DE2091">
        <w:t xml:space="preserve"> (Construction All Risks)</w:t>
      </w:r>
      <w:r w:rsidRPr="004519A3">
        <w:t xml:space="preserve"> to be acquired by </w:t>
      </w:r>
      <w:r w:rsidR="00643C99" w:rsidRPr="004519A3">
        <w:t>Buyer as per</w:t>
      </w:r>
      <w:r w:rsidR="00107023" w:rsidRPr="004519A3">
        <w:t xml:space="preserve"> </w:t>
      </w:r>
      <w:r w:rsidRPr="004519A3">
        <w:t>the Insurance Parameters established in item 3.1.</w:t>
      </w:r>
      <w:r w:rsidR="00C87A7B" w:rsidRPr="004519A3">
        <w:t>7</w:t>
      </w:r>
      <w:r w:rsidRPr="004519A3">
        <w:t xml:space="preserve"> herein below.</w:t>
      </w:r>
    </w:p>
    <w:p w14:paraId="4A9DA6C5" w14:textId="77777777" w:rsidR="00316462" w:rsidRPr="004519A3" w:rsidRDefault="00AC64C5" w:rsidP="004519A3">
      <w:pPr>
        <w:pStyle w:val="texto3"/>
      </w:pPr>
      <w:r w:rsidRPr="004519A3">
        <w:t xml:space="preserve">The Builder’s Risk Insurance policy issuance shall occur within </w:t>
      </w:r>
      <w:r w:rsidR="00316275" w:rsidRPr="004519A3">
        <w:t xml:space="preserve">up to </w:t>
      </w:r>
      <w:r w:rsidRPr="004519A3">
        <w:t>six (6) months counted from the date of signing of the Agreement</w:t>
      </w:r>
      <w:r w:rsidR="00316462" w:rsidRPr="004519A3">
        <w:t>.</w:t>
      </w:r>
    </w:p>
    <w:p w14:paraId="1D13A637" w14:textId="77777777" w:rsidR="00316462" w:rsidRPr="004519A3" w:rsidRDefault="00AC64C5" w:rsidP="004519A3">
      <w:pPr>
        <w:pStyle w:val="texto4"/>
      </w:pPr>
      <w:r w:rsidRPr="004519A3">
        <w:t>Until the policy is issued, the Parties shall be liable to, and shall indemnify each other, for losses and damages arising from any accidents, according to section 14.13.2.1 and in Article 22 of the PSA</w:t>
      </w:r>
      <w:r w:rsidR="00316462" w:rsidRPr="004519A3">
        <w:t>:</w:t>
      </w:r>
    </w:p>
    <w:p w14:paraId="15DC4CDF" w14:textId="77777777" w:rsidR="00316462" w:rsidRPr="00721C11" w:rsidRDefault="00316462" w:rsidP="004519A3">
      <w:pPr>
        <w:pStyle w:val="texto4"/>
      </w:pPr>
      <w:proofErr w:type="gramStart"/>
      <w:r w:rsidRPr="00721C11">
        <w:t xml:space="preserve">In </w:t>
      </w:r>
      <w:r w:rsidR="00643C99" w:rsidRPr="00721C11">
        <w:t>the event that</w:t>
      </w:r>
      <w:proofErr w:type="gramEnd"/>
      <w:r w:rsidR="00643C99" w:rsidRPr="00721C11">
        <w:t xml:space="preserve"> Buyer</w:t>
      </w:r>
      <w:r w:rsidR="00107023" w:rsidRPr="00721C11">
        <w:t xml:space="preserve"> </w:t>
      </w:r>
      <w:r w:rsidRPr="00721C11">
        <w:t xml:space="preserve">fails to present the </w:t>
      </w:r>
      <w:r w:rsidRPr="00721C11">
        <w:rPr>
          <w:lang w:val="en-GB"/>
        </w:rPr>
        <w:t xml:space="preserve">Builders’ Risks Insurance </w:t>
      </w:r>
      <w:r w:rsidR="001B79EC" w:rsidRPr="00721C11">
        <w:t xml:space="preserve">up to </w:t>
      </w:r>
      <w:r w:rsidRPr="00721C11">
        <w:t xml:space="preserve">06 (six) months, </w:t>
      </w:r>
      <w:r w:rsidR="00556A5F" w:rsidRPr="00721C11">
        <w:t xml:space="preserve">Buyer will be responsible for the indemnification of all losses and </w:t>
      </w:r>
      <w:proofErr w:type="gramStart"/>
      <w:r w:rsidR="00556A5F" w:rsidRPr="00721C11">
        <w:t xml:space="preserve">damages </w:t>
      </w:r>
      <w:r w:rsidR="001B79EC" w:rsidRPr="00721C11">
        <w:t>,</w:t>
      </w:r>
      <w:proofErr w:type="gramEnd"/>
      <w:r w:rsidR="001B79EC" w:rsidRPr="00721C11">
        <w:t xml:space="preserve"> as per item 3.1.5, </w:t>
      </w:r>
      <w:r w:rsidR="00556A5F" w:rsidRPr="00721C11">
        <w:t xml:space="preserve">resulting from </w:t>
      </w:r>
      <w:r w:rsidR="000C0818" w:rsidRPr="00721C11">
        <w:t>claims</w:t>
      </w:r>
      <w:r w:rsidR="00556A5F" w:rsidRPr="00721C11">
        <w:t>, provided that the following conditions are observed:</w:t>
      </w:r>
    </w:p>
    <w:p w14:paraId="3F7DC607" w14:textId="77777777" w:rsidR="00AC64C5" w:rsidRPr="00721C11" w:rsidRDefault="00AC64C5" w:rsidP="00721C11">
      <w:pPr>
        <w:tabs>
          <w:tab w:val="left" w:pos="1134"/>
        </w:tabs>
        <w:spacing w:before="120" w:after="120"/>
        <w:ind w:left="1560"/>
        <w:jc w:val="both"/>
        <w:outlineLvl w:val="5"/>
        <w:rPr>
          <w:rFonts w:cs="Arial"/>
          <w:lang w:val="en-US"/>
        </w:rPr>
      </w:pPr>
      <w:r w:rsidRPr="00721C11">
        <w:rPr>
          <w:rFonts w:cs="Arial"/>
          <w:lang w:val="en-US"/>
        </w:rPr>
        <w:t xml:space="preserve">a) Occurrences are included among the Covered Perils specified in the Insurance Parameters, item 3.1.7 </w:t>
      </w:r>
      <w:proofErr w:type="gramStart"/>
      <w:r w:rsidRPr="00721C11">
        <w:rPr>
          <w:rFonts w:cs="Arial"/>
          <w:lang w:val="en-US"/>
        </w:rPr>
        <w:t>below;</w:t>
      </w:r>
      <w:proofErr w:type="gramEnd"/>
    </w:p>
    <w:p w14:paraId="5722CB2A" w14:textId="77777777" w:rsidR="00AC64C5" w:rsidRPr="00721C11" w:rsidRDefault="00AC64C5" w:rsidP="00721C11">
      <w:pPr>
        <w:tabs>
          <w:tab w:val="left" w:pos="1134"/>
        </w:tabs>
        <w:spacing w:before="120" w:after="120"/>
        <w:ind w:left="1560"/>
        <w:jc w:val="both"/>
        <w:outlineLvl w:val="3"/>
        <w:rPr>
          <w:rFonts w:cs="Arial"/>
          <w:lang w:val="en-US"/>
        </w:rPr>
      </w:pPr>
      <w:r w:rsidRPr="00721C11">
        <w:rPr>
          <w:rFonts w:cs="Arial"/>
          <w:lang w:val="en-US"/>
        </w:rPr>
        <w:t>b) The costs to cover losses up to the values of the deductibles established in item 3.1.7.6 shall be assumed by Seller.</w:t>
      </w:r>
    </w:p>
    <w:p w14:paraId="6CD8F52E" w14:textId="77777777" w:rsidR="00316462" w:rsidRPr="00721C11" w:rsidRDefault="00643C99" w:rsidP="004519A3">
      <w:pPr>
        <w:pStyle w:val="texto3"/>
      </w:pPr>
      <w:r w:rsidRPr="00721C11">
        <w:t>SELLER’</w:t>
      </w:r>
      <w:r w:rsidR="004519A3">
        <w:t>s</w:t>
      </w:r>
      <w:r w:rsidRPr="00721C11">
        <w:t xml:space="preserve"> </w:t>
      </w:r>
      <w:r w:rsidR="004519A3" w:rsidRPr="00721C11">
        <w:t>documents</w:t>
      </w:r>
    </w:p>
    <w:p w14:paraId="5A42C744" w14:textId="3D31AC3F" w:rsidR="00316462" w:rsidRPr="00721C11" w:rsidRDefault="00643C99" w:rsidP="004519A3">
      <w:pPr>
        <w:pStyle w:val="texto4"/>
      </w:pPr>
      <w:r w:rsidRPr="00721C11">
        <w:t xml:space="preserve">Seller </w:t>
      </w:r>
      <w:r w:rsidR="00316462" w:rsidRPr="00721C11">
        <w:t xml:space="preserve">shall deliver to </w:t>
      </w:r>
      <w:r w:rsidRPr="00721C11">
        <w:t xml:space="preserve">Buyer </w:t>
      </w:r>
      <w:r w:rsidR="00316462" w:rsidRPr="00721C11">
        <w:t xml:space="preserve">the following documents within </w:t>
      </w:r>
      <w:r w:rsidRPr="00721C11">
        <w:t>the timeframes</w:t>
      </w:r>
      <w:r w:rsidR="00316462" w:rsidRPr="00721C11">
        <w:t xml:space="preserve"> set out below, </w:t>
      </w:r>
      <w:r w:rsidRPr="00721C11">
        <w:t xml:space="preserve">with time elapsed counted from </w:t>
      </w:r>
      <w:r w:rsidR="00316462" w:rsidRPr="00721C11">
        <w:t>the</w:t>
      </w:r>
      <w:r w:rsidR="001B1E40">
        <w:t xml:space="preserve"> Effective Date</w:t>
      </w:r>
      <w:r w:rsidR="001B79EC" w:rsidRPr="00721C11">
        <w:t>:</w:t>
      </w:r>
    </w:p>
    <w:tbl>
      <w:tblPr>
        <w:tblW w:w="765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1842"/>
      </w:tblGrid>
      <w:tr w:rsidR="00316462" w:rsidRPr="00721C11" w14:paraId="6C993A05" w14:textId="77777777" w:rsidTr="004519A3">
        <w:tc>
          <w:tcPr>
            <w:tcW w:w="5812" w:type="dxa"/>
          </w:tcPr>
          <w:p w14:paraId="4EE368B9" w14:textId="77777777" w:rsidR="00316462" w:rsidRPr="004519A3" w:rsidRDefault="00316462" w:rsidP="00577F15">
            <w:pPr>
              <w:tabs>
                <w:tab w:val="left" w:pos="1134"/>
              </w:tabs>
              <w:spacing w:before="120" w:after="120"/>
              <w:jc w:val="both"/>
              <w:rPr>
                <w:rFonts w:cs="Arial"/>
                <w:b/>
                <w:bCs/>
                <w:lang w:val="en-US"/>
              </w:rPr>
            </w:pPr>
            <w:r w:rsidRPr="004519A3">
              <w:rPr>
                <w:rFonts w:cs="Arial"/>
                <w:b/>
                <w:bCs/>
                <w:lang w:val="en-US"/>
              </w:rPr>
              <w:t>Description</w:t>
            </w:r>
          </w:p>
        </w:tc>
        <w:tc>
          <w:tcPr>
            <w:tcW w:w="1842" w:type="dxa"/>
          </w:tcPr>
          <w:p w14:paraId="05356610" w14:textId="77777777" w:rsidR="00316462" w:rsidRPr="004519A3" w:rsidRDefault="00316462" w:rsidP="004519A3">
            <w:pPr>
              <w:tabs>
                <w:tab w:val="left" w:pos="1134"/>
              </w:tabs>
              <w:spacing w:before="120" w:after="120"/>
              <w:jc w:val="center"/>
              <w:rPr>
                <w:rFonts w:cs="Arial"/>
                <w:b/>
                <w:bCs/>
                <w:lang w:val="en-US"/>
              </w:rPr>
            </w:pPr>
            <w:r w:rsidRPr="004519A3">
              <w:rPr>
                <w:rFonts w:cs="Arial"/>
                <w:b/>
                <w:bCs/>
                <w:lang w:val="en-US"/>
              </w:rPr>
              <w:t>Time (month)</w:t>
            </w:r>
          </w:p>
        </w:tc>
      </w:tr>
      <w:tr w:rsidR="00316462" w:rsidRPr="00721C11" w14:paraId="2E6122BD" w14:textId="77777777" w:rsidTr="004519A3">
        <w:tc>
          <w:tcPr>
            <w:tcW w:w="5812" w:type="dxa"/>
          </w:tcPr>
          <w:p w14:paraId="4D53B339" w14:textId="77777777" w:rsidR="00316462" w:rsidRPr="00721C11" w:rsidRDefault="00316462" w:rsidP="00577F15">
            <w:pPr>
              <w:tabs>
                <w:tab w:val="left" w:pos="1134"/>
              </w:tabs>
              <w:spacing w:before="120" w:after="120"/>
              <w:jc w:val="both"/>
              <w:rPr>
                <w:rFonts w:cs="Arial"/>
                <w:lang w:val="en-US"/>
              </w:rPr>
            </w:pPr>
            <w:r w:rsidRPr="00721C11">
              <w:rPr>
                <w:rFonts w:cs="Arial"/>
                <w:lang w:val="en-US"/>
              </w:rPr>
              <w:t xml:space="preserve">Sub-contracting General Plan </w:t>
            </w:r>
          </w:p>
        </w:tc>
        <w:tc>
          <w:tcPr>
            <w:tcW w:w="1842" w:type="dxa"/>
          </w:tcPr>
          <w:p w14:paraId="1F0F70A5" w14:textId="77777777" w:rsidR="00316462" w:rsidRPr="00721C11" w:rsidRDefault="00316462" w:rsidP="004519A3">
            <w:pPr>
              <w:tabs>
                <w:tab w:val="left" w:pos="1134"/>
              </w:tabs>
              <w:spacing w:before="120" w:after="120"/>
              <w:jc w:val="center"/>
              <w:rPr>
                <w:rFonts w:cs="Arial"/>
                <w:lang w:val="en-US"/>
              </w:rPr>
            </w:pPr>
            <w:r w:rsidRPr="00721C11">
              <w:rPr>
                <w:rFonts w:cs="Arial"/>
                <w:lang w:val="en-US"/>
              </w:rPr>
              <w:t>2</w:t>
            </w:r>
          </w:p>
        </w:tc>
      </w:tr>
      <w:tr w:rsidR="00316462" w:rsidRPr="00721C11" w14:paraId="4A69A516" w14:textId="77777777" w:rsidTr="004519A3">
        <w:tc>
          <w:tcPr>
            <w:tcW w:w="5812" w:type="dxa"/>
          </w:tcPr>
          <w:p w14:paraId="5F7E7A5C" w14:textId="77777777" w:rsidR="00316462" w:rsidRPr="00721C11" w:rsidRDefault="00316462" w:rsidP="00577F15">
            <w:pPr>
              <w:tabs>
                <w:tab w:val="left" w:pos="1134"/>
              </w:tabs>
              <w:spacing w:before="120" w:after="120"/>
              <w:jc w:val="both"/>
              <w:rPr>
                <w:rFonts w:cs="Arial"/>
                <w:lang w:val="en-US"/>
              </w:rPr>
            </w:pPr>
            <w:r w:rsidRPr="00721C11">
              <w:rPr>
                <w:rFonts w:cs="Arial"/>
                <w:lang w:val="en-US"/>
              </w:rPr>
              <w:lastRenderedPageBreak/>
              <w:t>List of Main Equipment, with estimates of values and origins (</w:t>
            </w:r>
            <w:smartTag w:uri="schemas-houaiss/acao" w:element="dm">
              <w:r w:rsidRPr="00721C11">
                <w:rPr>
                  <w:rFonts w:cs="Arial"/>
                  <w:lang w:val="en-US"/>
                </w:rPr>
                <w:t>Brazil</w:t>
              </w:r>
            </w:smartTag>
            <w:r w:rsidRPr="00721C11">
              <w:rPr>
                <w:rFonts w:cs="Arial"/>
                <w:lang w:val="en-US"/>
              </w:rPr>
              <w:t xml:space="preserve">, Asia, Europe, </w:t>
            </w:r>
            <w:smartTag w:uri="schemas-houaiss/acao" w:element="dm">
              <w:r w:rsidRPr="00721C11">
                <w:rPr>
                  <w:rFonts w:cs="Arial"/>
                  <w:lang w:val="en-US"/>
                </w:rPr>
                <w:t>USA</w:t>
              </w:r>
            </w:smartTag>
            <w:r w:rsidRPr="00721C11">
              <w:rPr>
                <w:rFonts w:cs="Arial"/>
                <w:lang w:val="en-US"/>
              </w:rPr>
              <w:t xml:space="preserve"> and </w:t>
            </w:r>
            <w:smartTag w:uri="schemas-houaiss/acao" w:element="dm">
              <w:r w:rsidRPr="00721C11">
                <w:rPr>
                  <w:rFonts w:cs="Arial"/>
                  <w:lang w:val="en-US"/>
                </w:rPr>
                <w:t>Canada</w:t>
              </w:r>
            </w:smartTag>
            <w:r w:rsidRPr="00721C11">
              <w:rPr>
                <w:rFonts w:cs="Arial"/>
                <w:lang w:val="en-US"/>
              </w:rPr>
              <w:t xml:space="preserve">) </w:t>
            </w:r>
          </w:p>
        </w:tc>
        <w:tc>
          <w:tcPr>
            <w:tcW w:w="1842" w:type="dxa"/>
          </w:tcPr>
          <w:p w14:paraId="12290320" w14:textId="77777777" w:rsidR="00316462" w:rsidRPr="00721C11" w:rsidRDefault="001B79EC" w:rsidP="004519A3">
            <w:pPr>
              <w:tabs>
                <w:tab w:val="left" w:pos="1134"/>
              </w:tabs>
              <w:spacing w:before="120" w:after="120"/>
              <w:jc w:val="center"/>
              <w:rPr>
                <w:rFonts w:cs="Arial"/>
                <w:lang w:val="en-US"/>
              </w:rPr>
            </w:pPr>
            <w:r w:rsidRPr="00721C11">
              <w:rPr>
                <w:rFonts w:cs="Arial"/>
                <w:lang w:val="en-US"/>
              </w:rPr>
              <w:t>2</w:t>
            </w:r>
          </w:p>
        </w:tc>
      </w:tr>
      <w:tr w:rsidR="00316462" w:rsidRPr="00721C11" w14:paraId="4A8E22A9" w14:textId="77777777" w:rsidTr="004519A3">
        <w:tc>
          <w:tcPr>
            <w:tcW w:w="5812" w:type="dxa"/>
          </w:tcPr>
          <w:p w14:paraId="51EF1B40" w14:textId="35A9C813" w:rsidR="00316462" w:rsidRPr="00721C11" w:rsidRDefault="00316462" w:rsidP="00577F15">
            <w:pPr>
              <w:tabs>
                <w:tab w:val="left" w:pos="1134"/>
              </w:tabs>
              <w:spacing w:before="120" w:after="120"/>
              <w:jc w:val="both"/>
              <w:rPr>
                <w:rFonts w:cs="Arial"/>
                <w:lang w:val="en-US"/>
              </w:rPr>
            </w:pPr>
            <w:r w:rsidRPr="00721C11">
              <w:rPr>
                <w:rFonts w:cs="Arial"/>
                <w:lang w:val="en-US"/>
              </w:rPr>
              <w:t xml:space="preserve">Physical / Financial Schedule, detailing the main stages of the </w:t>
            </w:r>
            <w:r w:rsidR="00BB1F04">
              <w:rPr>
                <w:rFonts w:cs="Arial"/>
                <w:lang w:val="en-US"/>
              </w:rPr>
              <w:t>Agreement</w:t>
            </w:r>
          </w:p>
        </w:tc>
        <w:tc>
          <w:tcPr>
            <w:tcW w:w="1842" w:type="dxa"/>
          </w:tcPr>
          <w:p w14:paraId="5CF5536B" w14:textId="77777777" w:rsidR="00316462" w:rsidRPr="00721C11" w:rsidRDefault="00316462" w:rsidP="004519A3">
            <w:pPr>
              <w:tabs>
                <w:tab w:val="left" w:pos="1134"/>
              </w:tabs>
              <w:spacing w:before="120" w:after="120"/>
              <w:jc w:val="center"/>
              <w:rPr>
                <w:rFonts w:cs="Arial"/>
                <w:lang w:val="en-US"/>
              </w:rPr>
            </w:pPr>
            <w:r w:rsidRPr="00721C11">
              <w:rPr>
                <w:rFonts w:cs="Arial"/>
                <w:lang w:val="en-US"/>
              </w:rPr>
              <w:t>2</w:t>
            </w:r>
          </w:p>
        </w:tc>
      </w:tr>
      <w:tr w:rsidR="00316462" w:rsidRPr="00721C11" w14:paraId="15CFEFAE" w14:textId="77777777" w:rsidTr="004519A3">
        <w:tc>
          <w:tcPr>
            <w:tcW w:w="5812" w:type="dxa"/>
          </w:tcPr>
          <w:p w14:paraId="49D491B9" w14:textId="77777777" w:rsidR="00316462" w:rsidRPr="00721C11" w:rsidRDefault="00316462" w:rsidP="00577F15">
            <w:pPr>
              <w:tabs>
                <w:tab w:val="left" w:pos="1134"/>
              </w:tabs>
              <w:spacing w:before="120" w:after="120"/>
              <w:jc w:val="both"/>
              <w:rPr>
                <w:rFonts w:cs="Arial"/>
                <w:lang w:val="en-US"/>
              </w:rPr>
            </w:pPr>
            <w:r w:rsidRPr="00721C11">
              <w:rPr>
                <w:rFonts w:cs="Arial"/>
                <w:lang w:val="en-US"/>
              </w:rPr>
              <w:t xml:space="preserve">Quality Procedures </w:t>
            </w:r>
          </w:p>
        </w:tc>
        <w:tc>
          <w:tcPr>
            <w:tcW w:w="1842" w:type="dxa"/>
          </w:tcPr>
          <w:p w14:paraId="7AE7485C" w14:textId="77777777" w:rsidR="00316462" w:rsidRPr="00721C11" w:rsidRDefault="00316462" w:rsidP="004519A3">
            <w:pPr>
              <w:tabs>
                <w:tab w:val="left" w:pos="1134"/>
              </w:tabs>
              <w:spacing w:before="120" w:after="120"/>
              <w:jc w:val="center"/>
              <w:rPr>
                <w:rFonts w:cs="Arial"/>
                <w:lang w:val="en-US"/>
              </w:rPr>
            </w:pPr>
            <w:r w:rsidRPr="00721C11">
              <w:rPr>
                <w:rFonts w:cs="Arial"/>
                <w:lang w:val="en-US"/>
              </w:rPr>
              <w:t>3</w:t>
            </w:r>
          </w:p>
        </w:tc>
      </w:tr>
    </w:tbl>
    <w:p w14:paraId="652A9C3B" w14:textId="77777777" w:rsidR="00643C99" w:rsidRPr="00721C11" w:rsidRDefault="00643C99" w:rsidP="00643C99">
      <w:pPr>
        <w:autoSpaceDE w:val="0"/>
        <w:autoSpaceDN w:val="0"/>
        <w:adjustRightInd w:val="0"/>
        <w:spacing w:before="0"/>
        <w:jc w:val="both"/>
        <w:rPr>
          <w:rFonts w:cs="Arial"/>
          <w:lang w:val="en-US"/>
        </w:rPr>
      </w:pPr>
    </w:p>
    <w:p w14:paraId="2EB88237" w14:textId="4DF18680" w:rsidR="00316462" w:rsidRPr="00721C11" w:rsidRDefault="00643C99" w:rsidP="004519A3">
      <w:pPr>
        <w:pStyle w:val="texto4"/>
      </w:pPr>
      <w:r w:rsidRPr="00721C11">
        <w:t xml:space="preserve">Notwithstanding the </w:t>
      </w:r>
      <w:r w:rsidR="006F364D">
        <w:t>foregoing Section 3.1.6.1</w:t>
      </w:r>
      <w:r w:rsidRPr="00721C11">
        <w:t xml:space="preserve">, if Seller fails to </w:t>
      </w:r>
      <w:r w:rsidR="00247549">
        <w:t>deliver</w:t>
      </w:r>
      <w:r w:rsidRPr="00721C11">
        <w:t xml:space="preserve"> the documents </w:t>
      </w:r>
      <w:r w:rsidR="00CB4716">
        <w:t>identified</w:t>
      </w:r>
      <w:r w:rsidR="00E61E96">
        <w:t xml:space="preserve"> in the</w:t>
      </w:r>
      <w:r w:rsidRPr="00721C11">
        <w:t xml:space="preserve"> above</w:t>
      </w:r>
      <w:r w:rsidR="00E61E96">
        <w:t xml:space="preserve"> Section 3.1.6.1 </w:t>
      </w:r>
      <w:r w:rsidR="00081E33" w:rsidRPr="00081E33">
        <w:t>by the applicable deadlines and such failure impairs Buyer’s ability to obtain Builder’s Risk Insurance within the six-month period contemplated in this item, Seller shall be notified in writing and shall be liable for all losses and damages resulting from occurrences caused by Seller prior to the Buyer’s acquisition of the insurance policies, subject to Article 22 of the Agreement</w:t>
      </w:r>
      <w:r w:rsidRPr="00721C11">
        <w:t>.</w:t>
      </w:r>
    </w:p>
    <w:p w14:paraId="77683857" w14:textId="77777777" w:rsidR="00316462" w:rsidRPr="00721C11" w:rsidRDefault="004519A3" w:rsidP="004519A3">
      <w:pPr>
        <w:pStyle w:val="texto3"/>
      </w:pPr>
      <w:r w:rsidRPr="00721C11">
        <w:t>Insurance parameters</w:t>
      </w:r>
    </w:p>
    <w:p w14:paraId="744662EE" w14:textId="77777777" w:rsidR="00316462" w:rsidRPr="00721C11" w:rsidRDefault="00316462" w:rsidP="004519A3">
      <w:pPr>
        <w:pStyle w:val="texto4"/>
      </w:pPr>
      <w:r w:rsidRPr="00721C11">
        <w:t>Assureds</w:t>
      </w:r>
    </w:p>
    <w:p w14:paraId="4B4E3215" w14:textId="77777777" w:rsidR="00316462" w:rsidRPr="00721C11" w:rsidRDefault="00316462" w:rsidP="004519A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3.1.</w:t>
      </w:r>
      <w:r w:rsidR="00C87A7B" w:rsidRPr="00721C11">
        <w:rPr>
          <w:rFonts w:cs="Arial"/>
          <w:lang w:val="en-US"/>
        </w:rPr>
        <w:t>7</w:t>
      </w:r>
      <w:r w:rsidRPr="00721C11">
        <w:rPr>
          <w:rFonts w:cs="Arial"/>
          <w:lang w:val="en-US"/>
        </w:rPr>
        <w:t>.1</w:t>
      </w:r>
      <w:proofErr w:type="gramStart"/>
      <w:r w:rsidRPr="00721C11">
        <w:rPr>
          <w:rFonts w:cs="Arial"/>
          <w:lang w:val="en-US"/>
        </w:rPr>
        <w:t>.1</w:t>
      </w:r>
      <w:proofErr w:type="gramEnd"/>
      <w:r w:rsidR="00C7257D" w:rsidRPr="00721C11">
        <w:rPr>
          <w:rFonts w:cs="Arial"/>
          <w:lang w:val="en-US"/>
        </w:rPr>
        <w:tab/>
      </w:r>
      <w:r w:rsidR="00643C99" w:rsidRPr="00721C11">
        <w:rPr>
          <w:rFonts w:cs="Arial"/>
          <w:lang w:val="en-US"/>
        </w:rPr>
        <w:t>Buyer</w:t>
      </w:r>
      <w:r w:rsidRPr="00721C11">
        <w:rPr>
          <w:rFonts w:cs="Arial"/>
          <w:lang w:val="en-US"/>
        </w:rPr>
        <w:t xml:space="preserve">, Affiliates, Contractors, Sub-contractors, Financing Entities, and all Suppliers and </w:t>
      </w:r>
      <w:r w:rsidR="00643C99" w:rsidRPr="00721C11">
        <w:rPr>
          <w:rFonts w:cs="Arial"/>
          <w:lang w:val="en-US"/>
        </w:rPr>
        <w:t>Sellers</w:t>
      </w:r>
      <w:r w:rsidR="00471BC0" w:rsidRPr="00721C11">
        <w:rPr>
          <w:rFonts w:cs="Arial"/>
          <w:lang w:val="en-US"/>
        </w:rPr>
        <w:t xml:space="preserve"> (including Seller Group)</w:t>
      </w:r>
      <w:r w:rsidR="00643C99" w:rsidRPr="00721C11">
        <w:rPr>
          <w:rFonts w:cs="Arial"/>
          <w:lang w:val="en-US"/>
        </w:rPr>
        <w:t xml:space="preserve"> </w:t>
      </w:r>
      <w:r w:rsidRPr="00721C11">
        <w:rPr>
          <w:rFonts w:cs="Arial"/>
          <w:lang w:val="en-US"/>
        </w:rPr>
        <w:t xml:space="preserve">for </w:t>
      </w:r>
      <w:r w:rsidR="00643C99" w:rsidRPr="00721C11">
        <w:rPr>
          <w:rFonts w:cs="Arial"/>
          <w:lang w:val="en-US"/>
        </w:rPr>
        <w:t>Buyer</w:t>
      </w:r>
      <w:r w:rsidRPr="00721C11">
        <w:rPr>
          <w:rFonts w:cs="Arial"/>
          <w:lang w:val="en-US"/>
        </w:rPr>
        <w:t xml:space="preserve">, as well as other parties involved in the Project implementation, distributed by Principal Assureds and Other Assureds as per </w:t>
      </w:r>
      <w:proofErr w:type="spellStart"/>
      <w:r w:rsidRPr="00721C11">
        <w:rPr>
          <w:rFonts w:cs="Arial"/>
          <w:lang w:val="en-US"/>
        </w:rPr>
        <w:t>Welcar</w:t>
      </w:r>
      <w:proofErr w:type="spellEnd"/>
      <w:r w:rsidRPr="00721C11">
        <w:rPr>
          <w:rFonts w:cs="Arial"/>
          <w:lang w:val="en-US"/>
        </w:rPr>
        <w:t xml:space="preserve"> 2001 (Appendix 4 included herein) Clause 1 of Scope of Insurance.</w:t>
      </w:r>
    </w:p>
    <w:p w14:paraId="11E41F95" w14:textId="77777777" w:rsidR="00316462" w:rsidRPr="00721C11" w:rsidRDefault="00316462" w:rsidP="004519A3">
      <w:pPr>
        <w:pStyle w:val="texto4"/>
      </w:pPr>
      <w:r w:rsidRPr="00721C11">
        <w:t xml:space="preserve">Coverage Period </w:t>
      </w:r>
    </w:p>
    <w:p w14:paraId="779C4355" w14:textId="77777777" w:rsidR="00643C99" w:rsidRPr="00721C11" w:rsidRDefault="00316462" w:rsidP="004519A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3.1.</w:t>
      </w:r>
      <w:r w:rsidR="00C87A7B" w:rsidRPr="00721C11">
        <w:rPr>
          <w:rFonts w:cs="Arial"/>
          <w:lang w:val="en-US"/>
        </w:rPr>
        <w:t>7</w:t>
      </w:r>
      <w:r w:rsidRPr="00721C11">
        <w:rPr>
          <w:rFonts w:cs="Arial"/>
          <w:lang w:val="en-US"/>
        </w:rPr>
        <w:t xml:space="preserve">.2.1 </w:t>
      </w:r>
      <w:r w:rsidR="00C7257D" w:rsidRPr="00721C11">
        <w:rPr>
          <w:rFonts w:cs="Arial"/>
          <w:lang w:val="en-US"/>
        </w:rPr>
        <w:tab/>
      </w:r>
      <w:r w:rsidR="00643C99" w:rsidRPr="00721C11">
        <w:rPr>
          <w:rFonts w:cs="Arial"/>
          <w:lang w:val="en-US"/>
        </w:rPr>
        <w:t xml:space="preserve">The Policy Period will begin no later than 06 (six) months after </w:t>
      </w:r>
      <w:r w:rsidR="000C0818" w:rsidRPr="00721C11">
        <w:rPr>
          <w:rFonts w:cs="Arial"/>
          <w:lang w:val="en-US"/>
        </w:rPr>
        <w:t xml:space="preserve">the </w:t>
      </w:r>
      <w:r w:rsidR="00643C99" w:rsidRPr="00721C11">
        <w:rPr>
          <w:rFonts w:cs="Arial"/>
          <w:lang w:val="en-US"/>
        </w:rPr>
        <w:t>signature of the Agreement</w:t>
      </w:r>
      <w:r w:rsidRPr="00721C11">
        <w:rPr>
          <w:rFonts w:cs="Arial"/>
          <w:lang w:val="en-US"/>
        </w:rPr>
        <w:t>.</w:t>
      </w:r>
    </w:p>
    <w:p w14:paraId="40D01A86" w14:textId="77777777" w:rsidR="00643C99" w:rsidRPr="00721C11" w:rsidRDefault="00643C99" w:rsidP="004519A3">
      <w:pPr>
        <w:pStyle w:val="texto4"/>
      </w:pPr>
      <w:r w:rsidRPr="00721C11">
        <w:t>The Policy Period for different types of insurance coverage shall be determined in accordance with the following provisions:</w:t>
      </w:r>
    </w:p>
    <w:p w14:paraId="0A967042" w14:textId="77777777" w:rsidR="00643C99" w:rsidRPr="00721C11" w:rsidRDefault="00C4691A" w:rsidP="004519A3">
      <w:pPr>
        <w:autoSpaceDE w:val="0"/>
        <w:autoSpaceDN w:val="0"/>
        <w:adjustRightInd w:val="0"/>
        <w:spacing w:before="0" w:after="240"/>
        <w:ind w:left="1418"/>
        <w:jc w:val="both"/>
        <w:rPr>
          <w:rFonts w:cs="Arial"/>
          <w:lang w:val="en-US"/>
        </w:rPr>
      </w:pPr>
      <w:r w:rsidRPr="00721C11">
        <w:rPr>
          <w:rFonts w:cs="Arial"/>
          <w:lang w:val="en-US"/>
        </w:rPr>
        <w:t>a)</w:t>
      </w:r>
      <w:r w:rsidR="00C7257D" w:rsidRPr="00721C11">
        <w:rPr>
          <w:rFonts w:cs="Arial"/>
          <w:lang w:val="en-US"/>
        </w:rPr>
        <w:tab/>
      </w:r>
      <w:r w:rsidR="00643C99" w:rsidRPr="00721C11">
        <w:rPr>
          <w:rFonts w:cs="Arial"/>
          <w:lang w:val="en-US"/>
        </w:rPr>
        <w:t xml:space="preserve">Insurance cover under this heading shall begin </w:t>
      </w:r>
      <w:r w:rsidR="001B79EC" w:rsidRPr="00721C11">
        <w:rPr>
          <w:rFonts w:cs="Arial"/>
          <w:lang w:val="en-US"/>
        </w:rPr>
        <w:t xml:space="preserve">up to </w:t>
      </w:r>
      <w:r w:rsidR="00643C99" w:rsidRPr="00721C11">
        <w:rPr>
          <w:rFonts w:cs="Arial"/>
          <w:lang w:val="en-US"/>
        </w:rPr>
        <w:t xml:space="preserve">06 (six) months have elapsed after the signature of the Agreement and will continue throughout the period of the Engineering, Procurement, Construction and subsequent delivery to Buyer of all Modules and Integration Services for the Floating Production, Storage and Offloading platforms identified herein as PETROBRAS </w:t>
      </w:r>
      <w:r w:rsidR="001B79EC" w:rsidRPr="00721C11">
        <w:rPr>
          <w:rFonts w:cs="Arial"/>
          <w:lang w:val="en-US"/>
        </w:rPr>
        <w:t xml:space="preserve">XX </w:t>
      </w:r>
      <w:r w:rsidR="00643C99" w:rsidRPr="00721C11">
        <w:rPr>
          <w:rFonts w:cs="Arial"/>
          <w:lang w:val="en-US"/>
        </w:rPr>
        <w:t xml:space="preserve">(the “UNIT”), and until the attainment of the Milestone – Ready For First Oil, </w:t>
      </w:r>
      <w:r w:rsidR="001B79EC" w:rsidRPr="00721C11">
        <w:rPr>
          <w:rFonts w:cs="Arial"/>
          <w:lang w:val="en-US"/>
        </w:rPr>
        <w:t xml:space="preserve">assuming no punch lists existent, </w:t>
      </w:r>
      <w:r w:rsidR="00643C99" w:rsidRPr="00721C11">
        <w:rPr>
          <w:rFonts w:cs="Arial"/>
          <w:lang w:val="en-US"/>
        </w:rPr>
        <w:t xml:space="preserve">provided that the total cost of minor nature items to be corrected or completed is estimated to be US$20,000,000.00 or less. From the date of </w:t>
      </w:r>
      <w:proofErr w:type="spellStart"/>
      <w:r w:rsidR="001B79EC" w:rsidRPr="00721C11">
        <w:rPr>
          <w:rFonts w:cs="Arial"/>
          <w:lang w:val="en-US"/>
        </w:rPr>
        <w:t>fisrt</w:t>
      </w:r>
      <w:proofErr w:type="spellEnd"/>
      <w:r w:rsidR="001B79EC" w:rsidRPr="00721C11">
        <w:rPr>
          <w:rFonts w:cs="Arial"/>
          <w:lang w:val="en-US"/>
        </w:rPr>
        <w:t xml:space="preserve"> oil</w:t>
      </w:r>
      <w:r w:rsidR="00643C99" w:rsidRPr="00721C11">
        <w:rPr>
          <w:rFonts w:cs="Arial"/>
          <w:lang w:val="en-US"/>
        </w:rPr>
        <w:t xml:space="preserve">, there shall begin a period of 12 (twelve) months of Additional Maintenance </w:t>
      </w:r>
      <w:proofErr w:type="gramStart"/>
      <w:r w:rsidR="00643C99" w:rsidRPr="00721C11">
        <w:rPr>
          <w:rFonts w:cs="Arial"/>
          <w:lang w:val="en-US"/>
        </w:rPr>
        <w:t>Coverage;</w:t>
      </w:r>
      <w:proofErr w:type="gramEnd"/>
    </w:p>
    <w:p w14:paraId="485D44D4" w14:textId="77777777" w:rsidR="00226C61" w:rsidRPr="00721C11" w:rsidRDefault="006C41E7" w:rsidP="004519A3">
      <w:pPr>
        <w:autoSpaceDE w:val="0"/>
        <w:autoSpaceDN w:val="0"/>
        <w:adjustRightInd w:val="0"/>
        <w:spacing w:before="0" w:after="240"/>
        <w:ind w:left="1418"/>
        <w:jc w:val="both"/>
        <w:rPr>
          <w:rFonts w:cs="Arial"/>
          <w:lang w:val="en-US"/>
        </w:rPr>
      </w:pPr>
      <w:r w:rsidRPr="00721C11">
        <w:rPr>
          <w:rFonts w:cs="Arial"/>
          <w:lang w:val="en-US"/>
        </w:rPr>
        <w:lastRenderedPageBreak/>
        <w:t>b)</w:t>
      </w:r>
      <w:r w:rsidR="00C7257D" w:rsidRPr="00721C11">
        <w:rPr>
          <w:rFonts w:cs="Arial"/>
          <w:lang w:val="en-US"/>
        </w:rPr>
        <w:tab/>
      </w:r>
      <w:r w:rsidR="00643C99" w:rsidRPr="00721C11">
        <w:rPr>
          <w:rFonts w:cs="Arial"/>
          <w:lang w:val="en-US"/>
        </w:rPr>
        <w:t xml:space="preserve">Coverage against Property Damage and Bodily Injuries to Third Parties Insurance cover under this heading shall begin </w:t>
      </w:r>
      <w:r w:rsidR="001B79EC" w:rsidRPr="00721C11">
        <w:rPr>
          <w:rFonts w:cs="Arial"/>
          <w:lang w:val="en-US"/>
        </w:rPr>
        <w:t xml:space="preserve">up to </w:t>
      </w:r>
      <w:r w:rsidR="00643C99" w:rsidRPr="00721C11">
        <w:rPr>
          <w:rFonts w:cs="Arial"/>
          <w:lang w:val="en-US"/>
        </w:rPr>
        <w:t xml:space="preserve">06 (six) months have elapsed after the signature of the Agreement and will continue throughout the </w:t>
      </w:r>
      <w:r w:rsidR="001B79EC" w:rsidRPr="00721C11">
        <w:rPr>
          <w:rFonts w:cs="Arial"/>
          <w:lang w:val="en-US"/>
        </w:rPr>
        <w:t xml:space="preserve">entire </w:t>
      </w:r>
      <w:r w:rsidR="00643C99" w:rsidRPr="00721C11">
        <w:rPr>
          <w:rFonts w:cs="Arial"/>
          <w:lang w:val="en-US"/>
        </w:rPr>
        <w:t>period of the Engineering, Procurement, Construction and subsequent delivery to Buyer of all Modules and Integration Services for</w:t>
      </w:r>
      <w:r w:rsidR="007554A7" w:rsidRPr="00721C11">
        <w:rPr>
          <w:rFonts w:cs="Arial"/>
          <w:lang w:val="en-US"/>
        </w:rPr>
        <w:t xml:space="preserve"> the</w:t>
      </w:r>
      <w:r w:rsidR="00643C99" w:rsidRPr="00721C11">
        <w:rPr>
          <w:rFonts w:cs="Arial"/>
          <w:lang w:val="en-US"/>
        </w:rPr>
        <w:t xml:space="preserve"> Floating Production, Storage and Offloading platform identified herein as PETROBRAS </w:t>
      </w:r>
      <w:r w:rsidR="00B70827" w:rsidRPr="004519A3">
        <w:rPr>
          <w:rFonts w:cs="Arial"/>
          <w:highlight w:val="yellow"/>
          <w:lang w:val="en-US"/>
        </w:rPr>
        <w:t>X</w:t>
      </w:r>
      <w:r w:rsidR="00DA36A7" w:rsidRPr="004519A3">
        <w:rPr>
          <w:rFonts w:cs="Arial"/>
          <w:highlight w:val="yellow"/>
          <w:lang w:val="en-US"/>
        </w:rPr>
        <w:t>X</w:t>
      </w:r>
      <w:r w:rsidR="00DA36A7" w:rsidRPr="00721C11">
        <w:rPr>
          <w:rFonts w:cs="Arial"/>
          <w:lang w:val="en-US"/>
        </w:rPr>
        <w:t xml:space="preserve"> </w:t>
      </w:r>
      <w:r w:rsidR="00643C99" w:rsidRPr="00721C11">
        <w:rPr>
          <w:rFonts w:cs="Arial"/>
          <w:lang w:val="en-US"/>
        </w:rPr>
        <w:t>(the “UNIT”), and until the attainment of the Milestone – Ready For First Oil.</w:t>
      </w:r>
    </w:p>
    <w:p w14:paraId="3D266357" w14:textId="77777777" w:rsidR="00316462" w:rsidRPr="00721C11" w:rsidRDefault="00316462" w:rsidP="004519A3">
      <w:pPr>
        <w:pStyle w:val="texto4"/>
      </w:pPr>
      <w:r w:rsidRPr="00721C11">
        <w:t>Coverage</w:t>
      </w:r>
    </w:p>
    <w:p w14:paraId="04BDD0C8" w14:textId="77777777" w:rsidR="00B31AFE" w:rsidRPr="00721C11" w:rsidRDefault="00316462" w:rsidP="004519A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3.1.</w:t>
      </w:r>
      <w:r w:rsidR="00C87A7B" w:rsidRPr="00721C11">
        <w:rPr>
          <w:rFonts w:cs="Arial"/>
          <w:lang w:val="en-US"/>
        </w:rPr>
        <w:t>7</w:t>
      </w:r>
      <w:r w:rsidRPr="00721C11">
        <w:rPr>
          <w:rFonts w:cs="Arial"/>
          <w:lang w:val="en-US"/>
        </w:rPr>
        <w:t>.4.1</w:t>
      </w:r>
      <w:r w:rsidR="00C7257D" w:rsidRPr="00721C11">
        <w:rPr>
          <w:rFonts w:cs="Arial"/>
          <w:lang w:val="en-US"/>
        </w:rPr>
        <w:tab/>
      </w:r>
      <w:r w:rsidRPr="00721C11">
        <w:rPr>
          <w:rFonts w:cs="Arial"/>
          <w:lang w:val="en-US"/>
        </w:rPr>
        <w:t>Coverage against Physical Loss or</w:t>
      </w:r>
      <w:r w:rsidR="002E39B4" w:rsidRPr="00721C11">
        <w:rPr>
          <w:rFonts w:cs="Arial"/>
          <w:lang w:val="en-US"/>
        </w:rPr>
        <w:t xml:space="preserve"> Physical Damage to the Project </w:t>
      </w:r>
      <w:r w:rsidRPr="00721C11">
        <w:rPr>
          <w:rFonts w:cs="Arial"/>
          <w:lang w:val="en-US"/>
        </w:rPr>
        <w:t>Property</w:t>
      </w:r>
    </w:p>
    <w:p w14:paraId="00FF49C6" w14:textId="77777777" w:rsidR="00316462" w:rsidRPr="00721C11" w:rsidRDefault="00C87A7B" w:rsidP="004519A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3.1.7.4.1.1</w:t>
      </w:r>
      <w:r w:rsidR="004519A3">
        <w:rPr>
          <w:rFonts w:cs="Arial"/>
          <w:lang w:val="en-US"/>
        </w:rPr>
        <w:t xml:space="preserve"> </w:t>
      </w:r>
      <w:r w:rsidR="00316462" w:rsidRPr="00721C11">
        <w:rPr>
          <w:rFonts w:cs="Arial"/>
          <w:lang w:val="en-US"/>
        </w:rPr>
        <w:t xml:space="preserve">The insurance coverage </w:t>
      </w:r>
      <w:r w:rsidR="00643C99" w:rsidRPr="00721C11">
        <w:rPr>
          <w:rFonts w:cs="Arial"/>
          <w:lang w:val="en-US"/>
        </w:rPr>
        <w:t xml:space="preserve">shall encompass </w:t>
      </w:r>
      <w:r w:rsidR="00316462" w:rsidRPr="00721C11">
        <w:rPr>
          <w:rFonts w:cs="Arial"/>
          <w:lang w:val="en-US"/>
        </w:rPr>
        <w:t xml:space="preserve">all risks </w:t>
      </w:r>
      <w:r w:rsidR="009173E8" w:rsidRPr="004519A3">
        <w:rPr>
          <w:rFonts w:cs="Arial"/>
          <w:lang w:val="en-US"/>
        </w:rPr>
        <w:t xml:space="preserve">of physical loss of and/or physical damage </w:t>
      </w:r>
      <w:r w:rsidR="00643C99" w:rsidRPr="004519A3">
        <w:rPr>
          <w:rFonts w:cs="Arial"/>
          <w:lang w:val="en-US"/>
        </w:rPr>
        <w:t xml:space="preserve">to, </w:t>
      </w:r>
      <w:r w:rsidR="00316462" w:rsidRPr="00721C11">
        <w:rPr>
          <w:rFonts w:cs="Arial"/>
          <w:lang w:val="en-US"/>
        </w:rPr>
        <w:t xml:space="preserve">arising </w:t>
      </w:r>
      <w:r w:rsidR="00643C99" w:rsidRPr="00721C11">
        <w:rPr>
          <w:rFonts w:cs="Arial"/>
          <w:lang w:val="en-US"/>
        </w:rPr>
        <w:t>from</w:t>
      </w:r>
      <w:r w:rsidR="00316462" w:rsidRPr="00721C11">
        <w:rPr>
          <w:rFonts w:cs="Arial"/>
          <w:lang w:val="en-US"/>
        </w:rPr>
        <w:t xml:space="preserve"> the engineering,</w:t>
      </w:r>
      <w:r w:rsidR="00160158" w:rsidRPr="004519A3">
        <w:rPr>
          <w:rFonts w:cs="Arial"/>
          <w:lang w:val="en-US"/>
        </w:rPr>
        <w:t xml:space="preserve"> design,</w:t>
      </w:r>
      <w:r w:rsidR="00316462" w:rsidRPr="00721C11">
        <w:rPr>
          <w:rFonts w:cs="Arial"/>
          <w:lang w:val="en-US"/>
        </w:rPr>
        <w:t xml:space="preserve"> procurement, fabrication,</w:t>
      </w:r>
      <w:r w:rsidR="00467E18" w:rsidRPr="00721C11">
        <w:rPr>
          <w:rFonts w:cs="Arial"/>
          <w:lang w:val="en-US"/>
        </w:rPr>
        <w:t xml:space="preserve"> </w:t>
      </w:r>
      <w:r w:rsidR="00160158" w:rsidRPr="00721C11">
        <w:rPr>
          <w:rFonts w:cs="Arial"/>
          <w:lang w:val="en-US"/>
        </w:rPr>
        <w:t>load out,</w:t>
      </w:r>
      <w:r w:rsidR="00316462" w:rsidRPr="00721C11">
        <w:rPr>
          <w:rFonts w:cs="Arial"/>
          <w:lang w:val="en-US"/>
        </w:rPr>
        <w:t xml:space="preserve"> tow</w:t>
      </w:r>
      <w:r w:rsidR="00160158" w:rsidRPr="00721C11">
        <w:rPr>
          <w:rFonts w:cs="Arial"/>
          <w:lang w:val="en-US"/>
        </w:rPr>
        <w:t>age</w:t>
      </w:r>
      <w:r w:rsidR="00316462" w:rsidRPr="00721C11">
        <w:rPr>
          <w:rFonts w:cs="Arial"/>
          <w:lang w:val="en-US"/>
        </w:rPr>
        <w:t xml:space="preserve"> (worldwide), installation, testing, pre-commissioning, </w:t>
      </w:r>
      <w:r w:rsidR="00160158" w:rsidRPr="00721C11">
        <w:rPr>
          <w:rFonts w:cs="Arial"/>
          <w:lang w:val="en-US"/>
        </w:rPr>
        <w:t xml:space="preserve">mating, </w:t>
      </w:r>
      <w:r w:rsidR="00316462" w:rsidRPr="00721C11">
        <w:rPr>
          <w:rFonts w:cs="Arial"/>
          <w:lang w:val="en-US"/>
        </w:rPr>
        <w:t xml:space="preserve">mooring, pull-in, tie-in, commissioning, </w:t>
      </w:r>
      <w:r w:rsidR="00160158" w:rsidRPr="00721C11">
        <w:rPr>
          <w:rFonts w:cs="Arial"/>
          <w:lang w:val="en-US"/>
        </w:rPr>
        <w:t xml:space="preserve">existence, </w:t>
      </w:r>
      <w:r w:rsidR="00316462" w:rsidRPr="00721C11">
        <w:rPr>
          <w:rFonts w:cs="Arial"/>
          <w:lang w:val="en-US"/>
        </w:rPr>
        <w:t xml:space="preserve">pre-operation and start-up activities throughout the </w:t>
      </w:r>
      <w:r w:rsidR="00643C99" w:rsidRPr="00721C11">
        <w:rPr>
          <w:rFonts w:cs="Arial"/>
          <w:lang w:val="en-US"/>
        </w:rPr>
        <w:t>execution of the Scope of Supply</w:t>
      </w:r>
      <w:r w:rsidR="00316462" w:rsidRPr="00721C11">
        <w:rPr>
          <w:rFonts w:cs="Arial"/>
          <w:lang w:val="en-US"/>
        </w:rPr>
        <w:t>, i</w:t>
      </w:r>
      <w:r w:rsidR="00BA46B1" w:rsidRPr="00721C11">
        <w:rPr>
          <w:rFonts w:cs="Arial"/>
          <w:lang w:val="en-US"/>
        </w:rPr>
        <w:t>ncluding the Initial Operations</w:t>
      </w:r>
      <w:r w:rsidR="00160158" w:rsidRPr="00721C11">
        <w:rPr>
          <w:rFonts w:cs="Arial"/>
          <w:lang w:val="en-US"/>
        </w:rPr>
        <w:t xml:space="preserve">, and others as per </w:t>
      </w:r>
      <w:r w:rsidR="009173E8" w:rsidRPr="00721C11">
        <w:rPr>
          <w:rFonts w:cs="Arial"/>
          <w:lang w:val="en-US"/>
        </w:rPr>
        <w:t>conditions.</w:t>
      </w:r>
    </w:p>
    <w:p w14:paraId="5CBDDE7C" w14:textId="77777777" w:rsidR="00316462" w:rsidRPr="00721C11" w:rsidRDefault="00316462" w:rsidP="004519A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3.1.</w:t>
      </w:r>
      <w:r w:rsidR="00C87A7B" w:rsidRPr="00721C11">
        <w:rPr>
          <w:rFonts w:cs="Arial"/>
          <w:lang w:val="en-US"/>
        </w:rPr>
        <w:t>7</w:t>
      </w:r>
      <w:r w:rsidRPr="00721C11">
        <w:rPr>
          <w:rFonts w:cs="Arial"/>
          <w:lang w:val="en-US"/>
        </w:rPr>
        <w:t>.4.1.2</w:t>
      </w:r>
      <w:r w:rsidR="004519A3">
        <w:rPr>
          <w:rFonts w:cs="Arial"/>
          <w:lang w:val="en-US"/>
        </w:rPr>
        <w:t xml:space="preserve"> </w:t>
      </w:r>
      <w:r w:rsidRPr="00721C11">
        <w:rPr>
          <w:rFonts w:cs="Arial"/>
          <w:lang w:val="en-US"/>
        </w:rPr>
        <w:t xml:space="preserve">The coverage will follow the </w:t>
      </w:r>
      <w:r w:rsidR="00643C99" w:rsidRPr="00721C11">
        <w:rPr>
          <w:rFonts w:cs="Arial"/>
          <w:lang w:val="en-US"/>
        </w:rPr>
        <w:t xml:space="preserve">requirements set out in </w:t>
      </w:r>
      <w:r w:rsidRPr="00721C11">
        <w:rPr>
          <w:rFonts w:cs="Arial"/>
          <w:lang w:val="en-US"/>
        </w:rPr>
        <w:t>“</w:t>
      </w:r>
      <w:proofErr w:type="spellStart"/>
      <w:r w:rsidRPr="00721C11">
        <w:rPr>
          <w:rFonts w:cs="Arial"/>
          <w:lang w:val="en-US"/>
        </w:rPr>
        <w:t>Welcar</w:t>
      </w:r>
      <w:proofErr w:type="spellEnd"/>
      <w:r w:rsidRPr="00721C11">
        <w:rPr>
          <w:rFonts w:cs="Arial"/>
          <w:lang w:val="en-US"/>
        </w:rPr>
        <w:t xml:space="preserve"> 2001 – Offshore Construction Project Policy”.</w:t>
      </w:r>
    </w:p>
    <w:p w14:paraId="7B0D25AB" w14:textId="77777777" w:rsidR="00316462" w:rsidRPr="00721C11" w:rsidRDefault="00316462" w:rsidP="004519A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3.1.</w:t>
      </w:r>
      <w:r w:rsidR="00C87A7B" w:rsidRPr="00721C11">
        <w:rPr>
          <w:rFonts w:cs="Arial"/>
          <w:lang w:val="en-US"/>
        </w:rPr>
        <w:t>7</w:t>
      </w:r>
      <w:r w:rsidRPr="00721C11">
        <w:rPr>
          <w:rFonts w:cs="Arial"/>
          <w:lang w:val="en-US"/>
        </w:rPr>
        <w:t>.4.2</w:t>
      </w:r>
      <w:r w:rsidRPr="00721C11">
        <w:rPr>
          <w:rFonts w:cs="Arial"/>
          <w:lang w:val="en-US"/>
        </w:rPr>
        <w:tab/>
        <w:t>Coverage against Physical Damages and Bodily Injuries to Third Parties</w:t>
      </w:r>
    </w:p>
    <w:p w14:paraId="426B08A2" w14:textId="77777777" w:rsidR="00316462" w:rsidRPr="00721C11" w:rsidRDefault="00316462" w:rsidP="004519A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3.1.</w:t>
      </w:r>
      <w:r w:rsidR="00C87A7B" w:rsidRPr="00721C11">
        <w:rPr>
          <w:rFonts w:cs="Arial"/>
          <w:lang w:val="en-US"/>
        </w:rPr>
        <w:t>7</w:t>
      </w:r>
      <w:r w:rsidRPr="00721C11">
        <w:rPr>
          <w:rFonts w:cs="Arial"/>
          <w:lang w:val="en-US"/>
        </w:rPr>
        <w:t>.4.2.1</w:t>
      </w:r>
      <w:r w:rsidR="004519A3">
        <w:rPr>
          <w:rFonts w:cs="Arial"/>
          <w:lang w:val="en-US"/>
        </w:rPr>
        <w:t xml:space="preserve"> </w:t>
      </w:r>
      <w:r w:rsidRPr="00721C11">
        <w:rPr>
          <w:rFonts w:cs="Arial"/>
          <w:lang w:val="en-US"/>
        </w:rPr>
        <w:t xml:space="preserve">Third Party Liability Insurance covering, among others, Sudden and Accidental Pollution and any damage, loss or injury that may occur to any property or person arising out of, or related to the performance of the </w:t>
      </w:r>
      <w:r w:rsidR="00643C99" w:rsidRPr="00721C11">
        <w:rPr>
          <w:rFonts w:cs="Arial"/>
          <w:lang w:val="en-US"/>
        </w:rPr>
        <w:t xml:space="preserve">Scope of </w:t>
      </w:r>
      <w:proofErr w:type="gramStart"/>
      <w:r w:rsidR="00643C99" w:rsidRPr="00721C11">
        <w:rPr>
          <w:rFonts w:cs="Arial"/>
          <w:lang w:val="en-US"/>
        </w:rPr>
        <w:t>Supply</w:t>
      </w:r>
      <w:r w:rsidRPr="00721C11">
        <w:rPr>
          <w:rFonts w:cs="Arial"/>
          <w:lang w:val="en-US"/>
        </w:rPr>
        <w:t>;</w:t>
      </w:r>
      <w:proofErr w:type="gramEnd"/>
    </w:p>
    <w:p w14:paraId="1F36FDE7" w14:textId="77777777" w:rsidR="00316462" w:rsidRPr="00721C11" w:rsidRDefault="00316462" w:rsidP="004519A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3.1.</w:t>
      </w:r>
      <w:r w:rsidR="00C87A7B" w:rsidRPr="00721C11">
        <w:rPr>
          <w:rFonts w:cs="Arial"/>
          <w:lang w:val="en-US"/>
        </w:rPr>
        <w:t>7</w:t>
      </w:r>
      <w:r w:rsidRPr="00721C11">
        <w:rPr>
          <w:rFonts w:cs="Arial"/>
          <w:lang w:val="en-US"/>
        </w:rPr>
        <w:t>.4.2.2</w:t>
      </w:r>
      <w:r w:rsidR="004519A3">
        <w:rPr>
          <w:rFonts w:cs="Arial"/>
          <w:lang w:val="en-US"/>
        </w:rPr>
        <w:t xml:space="preserve"> </w:t>
      </w:r>
      <w:r w:rsidRPr="00721C11">
        <w:rPr>
          <w:rFonts w:cs="Arial"/>
          <w:lang w:val="en-US"/>
        </w:rPr>
        <w:t xml:space="preserve">This coverage will follow the conditions established by “Section II – Liability of </w:t>
      </w:r>
      <w:proofErr w:type="spellStart"/>
      <w:r w:rsidRPr="00721C11">
        <w:rPr>
          <w:rFonts w:cs="Arial"/>
          <w:lang w:val="en-US"/>
        </w:rPr>
        <w:t>Welcar</w:t>
      </w:r>
      <w:proofErr w:type="spellEnd"/>
      <w:r w:rsidRPr="00721C11">
        <w:rPr>
          <w:rFonts w:cs="Arial"/>
          <w:lang w:val="en-US"/>
        </w:rPr>
        <w:t xml:space="preserve"> </w:t>
      </w:r>
      <w:smartTag w:uri="urn:schemas-microsoft-com:office:smarttags" w:element="metricconverter">
        <w:smartTagPr>
          <w:attr w:name="ProductID" w:val="2001”"/>
        </w:smartTagPr>
        <w:r w:rsidRPr="00721C11">
          <w:rPr>
            <w:rFonts w:cs="Arial"/>
            <w:lang w:val="en-US"/>
          </w:rPr>
          <w:t>2001”</w:t>
        </w:r>
      </w:smartTag>
      <w:r w:rsidRPr="00721C11">
        <w:rPr>
          <w:rFonts w:cs="Arial"/>
          <w:lang w:val="en-US"/>
        </w:rPr>
        <w:t>.</w:t>
      </w:r>
    </w:p>
    <w:p w14:paraId="1BB75299" w14:textId="77777777" w:rsidR="00175BA9" w:rsidRPr="00721C11" w:rsidRDefault="00175BA9" w:rsidP="004519A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3.1.</w:t>
      </w:r>
      <w:r w:rsidR="00C87A7B" w:rsidRPr="00721C11">
        <w:rPr>
          <w:rFonts w:cs="Arial"/>
          <w:lang w:val="en-US"/>
        </w:rPr>
        <w:t>7</w:t>
      </w:r>
      <w:r w:rsidRPr="00721C11">
        <w:rPr>
          <w:rFonts w:cs="Arial"/>
          <w:lang w:val="en-US"/>
        </w:rPr>
        <w:t>.4.3</w:t>
      </w:r>
      <w:r w:rsidRPr="00721C11">
        <w:rPr>
          <w:rFonts w:cs="Arial"/>
          <w:lang w:val="en-US"/>
        </w:rPr>
        <w:tab/>
        <w:t>Coverage against Property Damages caused to Cargo during transits.</w:t>
      </w:r>
    </w:p>
    <w:p w14:paraId="62E87C97" w14:textId="77777777" w:rsidR="00520053" w:rsidRPr="004519A3" w:rsidRDefault="00175BA9" w:rsidP="004519A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3.1.</w:t>
      </w:r>
      <w:r w:rsidR="00C87A7B" w:rsidRPr="00721C11">
        <w:rPr>
          <w:rFonts w:cs="Arial"/>
          <w:lang w:val="en-US"/>
        </w:rPr>
        <w:t>7</w:t>
      </w:r>
      <w:r w:rsidRPr="00721C11">
        <w:rPr>
          <w:rFonts w:cs="Arial"/>
          <w:lang w:val="en-US"/>
        </w:rPr>
        <w:t>.4.3</w:t>
      </w:r>
      <w:r w:rsidR="00104E9D" w:rsidRPr="00721C11">
        <w:rPr>
          <w:rFonts w:cs="Arial"/>
          <w:lang w:val="en-US"/>
        </w:rPr>
        <w:t>.1</w:t>
      </w:r>
      <w:r w:rsidRPr="00721C11">
        <w:rPr>
          <w:rFonts w:cs="Arial"/>
          <w:lang w:val="en-US"/>
        </w:rPr>
        <w:tab/>
      </w:r>
      <w:r w:rsidR="00520053" w:rsidRPr="00721C11">
        <w:rPr>
          <w:rFonts w:cs="Arial"/>
          <w:lang w:val="en-US"/>
        </w:rPr>
        <w:t xml:space="preserve">The coverage shall comply with </w:t>
      </w:r>
      <w:r w:rsidR="00643C99" w:rsidRPr="00721C11">
        <w:rPr>
          <w:rFonts w:cs="Arial"/>
          <w:lang w:val="en-US"/>
        </w:rPr>
        <w:t xml:space="preserve">the </w:t>
      </w:r>
      <w:r w:rsidR="00520053" w:rsidRPr="00721C11">
        <w:rPr>
          <w:rFonts w:cs="Arial"/>
          <w:lang w:val="en-US"/>
        </w:rPr>
        <w:t>following requirements:</w:t>
      </w:r>
    </w:p>
    <w:p w14:paraId="0C0091DD" w14:textId="77777777" w:rsidR="00520053" w:rsidRPr="00721C11" w:rsidRDefault="00520053" w:rsidP="004519A3">
      <w:pPr>
        <w:tabs>
          <w:tab w:val="left" w:pos="1134"/>
        </w:tabs>
        <w:spacing w:before="120" w:after="120"/>
        <w:ind w:left="2268"/>
        <w:jc w:val="both"/>
        <w:outlineLvl w:val="4"/>
        <w:rPr>
          <w:rFonts w:cs="Arial"/>
          <w:lang w:val="en-US"/>
        </w:rPr>
      </w:pPr>
      <w:r w:rsidRPr="00721C11">
        <w:rPr>
          <w:rFonts w:cs="Arial"/>
          <w:lang w:val="en-US"/>
        </w:rPr>
        <w:t>a</w:t>
      </w:r>
      <w:proofErr w:type="gramStart"/>
      <w:r w:rsidRPr="00721C11">
        <w:rPr>
          <w:rFonts w:cs="Arial"/>
          <w:lang w:val="en-US"/>
        </w:rPr>
        <w:t xml:space="preserve">) </w:t>
      </w:r>
      <w:r w:rsidR="000003AF" w:rsidRPr="00721C11">
        <w:rPr>
          <w:rFonts w:cs="Arial"/>
          <w:lang w:val="en-US"/>
        </w:rPr>
        <w:tab/>
      </w:r>
      <w:r w:rsidRPr="00721C11">
        <w:rPr>
          <w:rFonts w:cs="Arial"/>
          <w:lang w:val="en-US"/>
        </w:rPr>
        <w:t>Coverage</w:t>
      </w:r>
      <w:proofErr w:type="gramEnd"/>
      <w:r w:rsidRPr="00721C11">
        <w:rPr>
          <w:rFonts w:cs="Arial"/>
          <w:lang w:val="en-US"/>
        </w:rPr>
        <w:t xml:space="preserve"> against Property Damages caused to property advised to be incorporated into the Project during Land/Air/Sea transits, national and worldwide, by suitable conveyance, </w:t>
      </w:r>
      <w:proofErr w:type="gramStart"/>
      <w:r w:rsidRPr="00721C11">
        <w:rPr>
          <w:rFonts w:cs="Arial"/>
          <w:lang w:val="en-US"/>
        </w:rPr>
        <w:t>and also</w:t>
      </w:r>
      <w:proofErr w:type="gramEnd"/>
      <w:r w:rsidRPr="00721C11">
        <w:rPr>
          <w:rFonts w:cs="Arial"/>
          <w:lang w:val="en-US"/>
        </w:rPr>
        <w:t xml:space="preserve"> transits between shipyards or other construction sites.</w:t>
      </w:r>
    </w:p>
    <w:p w14:paraId="0CE87912" w14:textId="77777777" w:rsidR="00520053" w:rsidRPr="00721C11" w:rsidRDefault="00520053" w:rsidP="004519A3">
      <w:pPr>
        <w:tabs>
          <w:tab w:val="left" w:pos="1134"/>
        </w:tabs>
        <w:spacing w:before="120" w:after="120"/>
        <w:ind w:left="2268"/>
        <w:jc w:val="both"/>
        <w:outlineLvl w:val="4"/>
        <w:rPr>
          <w:rFonts w:cs="Arial"/>
          <w:lang w:val="en-US"/>
        </w:rPr>
      </w:pPr>
      <w:r w:rsidRPr="00721C11">
        <w:rPr>
          <w:rFonts w:cs="Arial"/>
          <w:lang w:val="en-US"/>
        </w:rPr>
        <w:lastRenderedPageBreak/>
        <w:t>b)</w:t>
      </w:r>
      <w:r w:rsidR="00104E9D" w:rsidRPr="00721C11">
        <w:rPr>
          <w:rFonts w:cs="Arial"/>
          <w:lang w:val="en-US"/>
        </w:rPr>
        <w:t xml:space="preserve"> </w:t>
      </w:r>
      <w:r w:rsidR="000003AF" w:rsidRPr="00721C11">
        <w:rPr>
          <w:rFonts w:cs="Arial"/>
          <w:lang w:val="en-US"/>
        </w:rPr>
        <w:tab/>
      </w:r>
      <w:r w:rsidRPr="00721C11">
        <w:rPr>
          <w:rFonts w:cs="Arial"/>
          <w:lang w:val="en-US"/>
        </w:rPr>
        <w:t>Coverage in accordance with Institute Clauses mentioned in 2 – Incorporated Clauses b) of Terms and Conditions (Section I only), Page 13 of WELCAR 2001 – Offshore Construction Project Policy, wording attached to policy.</w:t>
      </w:r>
    </w:p>
    <w:p w14:paraId="4D795A57" w14:textId="77777777" w:rsidR="00316462" w:rsidRPr="00721C11" w:rsidRDefault="00316462" w:rsidP="004519A3">
      <w:pPr>
        <w:pStyle w:val="texto4"/>
      </w:pPr>
      <w:bookmarkStart w:id="47" w:name="_Toc96482766"/>
      <w:bookmarkEnd w:id="47"/>
      <w:r w:rsidRPr="00721C11">
        <w:t>Insured Amounts (100% of Insurable Interest)</w:t>
      </w:r>
    </w:p>
    <w:tbl>
      <w:tblPr>
        <w:tblW w:w="9557" w:type="dxa"/>
        <w:tblInd w:w="108" w:type="dxa"/>
        <w:tblLayout w:type="fixed"/>
        <w:tblLook w:val="0000" w:firstRow="0" w:lastRow="0" w:firstColumn="0" w:lastColumn="0" w:noHBand="0" w:noVBand="0"/>
      </w:tblPr>
      <w:tblGrid>
        <w:gridCol w:w="4140"/>
        <w:gridCol w:w="3420"/>
        <w:gridCol w:w="1997"/>
      </w:tblGrid>
      <w:tr w:rsidR="00316462" w:rsidRPr="00721C11" w14:paraId="3ADEA6A5" w14:textId="77777777" w:rsidTr="001E5A3E">
        <w:trPr>
          <w:trHeight w:val="581"/>
        </w:trPr>
        <w:tc>
          <w:tcPr>
            <w:tcW w:w="4140" w:type="dxa"/>
            <w:tcBorders>
              <w:top w:val="single" w:sz="8" w:space="0" w:color="000000"/>
              <w:left w:val="single" w:sz="8" w:space="0" w:color="000000"/>
              <w:bottom w:val="single" w:sz="8" w:space="0" w:color="000000"/>
              <w:right w:val="single" w:sz="8" w:space="0" w:color="000000"/>
            </w:tcBorders>
          </w:tcPr>
          <w:p w14:paraId="438B9B4A" w14:textId="77777777" w:rsidR="00316462" w:rsidRPr="00721C11" w:rsidRDefault="00D6457C" w:rsidP="00577F15">
            <w:pPr>
              <w:tabs>
                <w:tab w:val="left" w:pos="1134"/>
              </w:tabs>
              <w:spacing w:before="120" w:after="120"/>
              <w:jc w:val="both"/>
              <w:rPr>
                <w:rFonts w:cs="Arial"/>
                <w:lang w:val="en-GB"/>
              </w:rPr>
            </w:pPr>
            <w:r w:rsidRPr="00721C11">
              <w:rPr>
                <w:rFonts w:cs="Arial"/>
                <w:lang w:val="en-GB"/>
              </w:rPr>
              <w:t>I</w:t>
            </w:r>
            <w:r w:rsidR="00316462" w:rsidRPr="00721C11">
              <w:rPr>
                <w:rFonts w:cs="Arial"/>
                <w:lang w:val="en-GB"/>
              </w:rPr>
              <w:t>TEM</w:t>
            </w:r>
          </w:p>
        </w:tc>
        <w:tc>
          <w:tcPr>
            <w:tcW w:w="3420" w:type="dxa"/>
            <w:tcBorders>
              <w:top w:val="single" w:sz="8" w:space="0" w:color="000000"/>
              <w:left w:val="single" w:sz="8" w:space="0" w:color="000000"/>
              <w:bottom w:val="single" w:sz="8" w:space="0" w:color="000000"/>
              <w:right w:val="single" w:sz="8" w:space="0" w:color="000000"/>
            </w:tcBorders>
          </w:tcPr>
          <w:p w14:paraId="5DD13DFF" w14:textId="77777777" w:rsidR="00316462" w:rsidRPr="00721C11" w:rsidRDefault="00316462" w:rsidP="00577F15">
            <w:pPr>
              <w:tabs>
                <w:tab w:val="left" w:pos="1134"/>
              </w:tabs>
              <w:spacing w:before="120" w:after="120"/>
              <w:jc w:val="both"/>
              <w:rPr>
                <w:rFonts w:cs="Arial"/>
                <w:lang w:val="en-GB"/>
              </w:rPr>
            </w:pPr>
            <w:r w:rsidRPr="00721C11">
              <w:rPr>
                <w:rFonts w:cs="Arial"/>
                <w:lang w:val="en-GB"/>
              </w:rPr>
              <w:t>INSURED AMOUNTS (US$)</w:t>
            </w:r>
          </w:p>
        </w:tc>
        <w:tc>
          <w:tcPr>
            <w:tcW w:w="1997" w:type="dxa"/>
            <w:tcBorders>
              <w:top w:val="single" w:sz="8" w:space="0" w:color="000000"/>
              <w:left w:val="single" w:sz="8" w:space="0" w:color="000000"/>
              <w:bottom w:val="single" w:sz="8" w:space="0" w:color="000000"/>
              <w:right w:val="single" w:sz="8" w:space="0" w:color="000000"/>
            </w:tcBorders>
          </w:tcPr>
          <w:p w14:paraId="3F4450DB" w14:textId="77777777" w:rsidR="00316462" w:rsidRPr="00721C11" w:rsidRDefault="00316462" w:rsidP="00577F15">
            <w:pPr>
              <w:tabs>
                <w:tab w:val="left" w:pos="1134"/>
              </w:tabs>
              <w:spacing w:before="120" w:after="120"/>
              <w:jc w:val="both"/>
              <w:rPr>
                <w:rFonts w:cs="Arial"/>
                <w:lang w:val="en-GB"/>
              </w:rPr>
            </w:pPr>
            <w:r w:rsidRPr="00721C11">
              <w:rPr>
                <w:rFonts w:cs="Arial"/>
                <w:lang w:val="en-GB"/>
              </w:rPr>
              <w:t>Remarks</w:t>
            </w:r>
          </w:p>
        </w:tc>
      </w:tr>
      <w:tr w:rsidR="00316462" w:rsidRPr="00721C11" w14:paraId="51484DD5" w14:textId="77777777" w:rsidTr="001E5A3E">
        <w:trPr>
          <w:trHeight w:val="290"/>
        </w:trPr>
        <w:tc>
          <w:tcPr>
            <w:tcW w:w="4140" w:type="dxa"/>
            <w:tcBorders>
              <w:top w:val="single" w:sz="8" w:space="0" w:color="000000"/>
              <w:left w:val="single" w:sz="8" w:space="0" w:color="000000"/>
              <w:bottom w:val="single" w:sz="8" w:space="0" w:color="000000"/>
              <w:right w:val="single" w:sz="8" w:space="0" w:color="000000"/>
            </w:tcBorders>
          </w:tcPr>
          <w:p w14:paraId="0AABCD8E" w14:textId="77777777" w:rsidR="00316462" w:rsidRPr="00721C11" w:rsidRDefault="00316462" w:rsidP="00577F15">
            <w:pPr>
              <w:tabs>
                <w:tab w:val="left" w:pos="1134"/>
              </w:tabs>
              <w:spacing w:before="120" w:after="120"/>
              <w:jc w:val="both"/>
              <w:rPr>
                <w:rFonts w:cs="Arial"/>
                <w:lang w:val="en-GB"/>
              </w:rPr>
            </w:pPr>
            <w:r w:rsidRPr="00721C11">
              <w:rPr>
                <w:rFonts w:cs="Arial"/>
                <w:lang w:val="en-GB"/>
              </w:rPr>
              <w:t>Estimated Full Contract Value</w:t>
            </w:r>
          </w:p>
        </w:tc>
        <w:tc>
          <w:tcPr>
            <w:tcW w:w="3420" w:type="dxa"/>
            <w:tcBorders>
              <w:top w:val="single" w:sz="8" w:space="0" w:color="000000"/>
              <w:left w:val="single" w:sz="8" w:space="0" w:color="000000"/>
              <w:bottom w:val="single" w:sz="8" w:space="0" w:color="000000"/>
              <w:right w:val="single" w:sz="8" w:space="0" w:color="000000"/>
            </w:tcBorders>
          </w:tcPr>
          <w:p w14:paraId="7BF96A3E" w14:textId="77777777" w:rsidR="00316462" w:rsidRPr="00721C11" w:rsidRDefault="00316462" w:rsidP="00577F15">
            <w:pPr>
              <w:tabs>
                <w:tab w:val="left" w:pos="1134"/>
              </w:tabs>
              <w:spacing w:before="120" w:after="120"/>
              <w:jc w:val="both"/>
              <w:rPr>
                <w:rFonts w:cs="Arial"/>
                <w:lang w:val="en-GB"/>
              </w:rPr>
            </w:pPr>
            <w:r w:rsidRPr="00721C11">
              <w:rPr>
                <w:rFonts w:cs="Arial"/>
                <w:lang w:val="en-GB"/>
              </w:rPr>
              <w:t xml:space="preserve">HOLD </w:t>
            </w:r>
          </w:p>
        </w:tc>
        <w:tc>
          <w:tcPr>
            <w:tcW w:w="1997" w:type="dxa"/>
            <w:tcBorders>
              <w:top w:val="single" w:sz="8" w:space="0" w:color="000000"/>
              <w:left w:val="single" w:sz="8" w:space="0" w:color="000000"/>
              <w:bottom w:val="single" w:sz="8" w:space="0" w:color="000000"/>
              <w:right w:val="single" w:sz="8" w:space="0" w:color="000000"/>
            </w:tcBorders>
          </w:tcPr>
          <w:p w14:paraId="2A6DCC6D" w14:textId="77777777" w:rsidR="00316462" w:rsidRPr="00721C11" w:rsidRDefault="00316462" w:rsidP="00577F15">
            <w:pPr>
              <w:tabs>
                <w:tab w:val="left" w:pos="1134"/>
              </w:tabs>
              <w:spacing w:before="120" w:after="120"/>
              <w:jc w:val="both"/>
              <w:rPr>
                <w:rFonts w:cs="Arial"/>
                <w:lang w:val="en-GB"/>
              </w:rPr>
            </w:pPr>
            <w:r w:rsidRPr="00721C11">
              <w:rPr>
                <w:rFonts w:cs="Arial"/>
                <w:lang w:val="en-GB"/>
              </w:rPr>
              <w:t xml:space="preserve">At risk </w:t>
            </w:r>
          </w:p>
        </w:tc>
      </w:tr>
      <w:tr w:rsidR="00316462" w:rsidRPr="00721C11" w14:paraId="0CCEE0F2" w14:textId="77777777" w:rsidTr="001E5A3E">
        <w:trPr>
          <w:trHeight w:val="290"/>
        </w:trPr>
        <w:tc>
          <w:tcPr>
            <w:tcW w:w="4140" w:type="dxa"/>
            <w:tcBorders>
              <w:top w:val="single" w:sz="8" w:space="0" w:color="000000"/>
              <w:left w:val="single" w:sz="8" w:space="0" w:color="000000"/>
              <w:bottom w:val="single" w:sz="8" w:space="0" w:color="000000"/>
              <w:right w:val="single" w:sz="8" w:space="0" w:color="000000"/>
            </w:tcBorders>
          </w:tcPr>
          <w:p w14:paraId="5DDED538" w14:textId="77777777" w:rsidR="00316462" w:rsidRPr="00721C11" w:rsidRDefault="00643C99" w:rsidP="00577F15">
            <w:pPr>
              <w:tabs>
                <w:tab w:val="left" w:pos="1134"/>
              </w:tabs>
              <w:spacing w:before="120" w:after="120"/>
              <w:jc w:val="both"/>
              <w:rPr>
                <w:rFonts w:cs="Arial"/>
                <w:lang w:val="en-GB"/>
              </w:rPr>
            </w:pPr>
            <w:r w:rsidRPr="00721C11">
              <w:rPr>
                <w:rFonts w:cs="Arial"/>
                <w:lang w:val="en-GB"/>
              </w:rPr>
              <w:t xml:space="preserve">Buyer </w:t>
            </w:r>
            <w:r w:rsidR="00316462" w:rsidRPr="00721C11">
              <w:rPr>
                <w:rFonts w:cs="Arial"/>
                <w:lang w:val="en-GB"/>
              </w:rPr>
              <w:t>supplied equipment and services</w:t>
            </w:r>
          </w:p>
        </w:tc>
        <w:tc>
          <w:tcPr>
            <w:tcW w:w="3420" w:type="dxa"/>
            <w:tcBorders>
              <w:top w:val="single" w:sz="8" w:space="0" w:color="000000"/>
              <w:left w:val="single" w:sz="8" w:space="0" w:color="000000"/>
              <w:bottom w:val="single" w:sz="8" w:space="0" w:color="000000"/>
              <w:right w:val="single" w:sz="8" w:space="0" w:color="000000"/>
            </w:tcBorders>
          </w:tcPr>
          <w:p w14:paraId="48A6B450" w14:textId="77777777" w:rsidR="00316462" w:rsidRPr="00721C11" w:rsidRDefault="00316462" w:rsidP="00577F15">
            <w:pPr>
              <w:tabs>
                <w:tab w:val="left" w:pos="1134"/>
              </w:tabs>
              <w:spacing w:before="120" w:after="120"/>
              <w:jc w:val="both"/>
              <w:rPr>
                <w:rFonts w:cs="Arial"/>
                <w:lang w:val="en-GB"/>
              </w:rPr>
            </w:pPr>
            <w:r w:rsidRPr="00721C11">
              <w:rPr>
                <w:rFonts w:cs="Arial"/>
                <w:lang w:val="en-GB"/>
              </w:rPr>
              <w:t>HOLD</w:t>
            </w:r>
          </w:p>
        </w:tc>
        <w:tc>
          <w:tcPr>
            <w:tcW w:w="1997" w:type="dxa"/>
            <w:tcBorders>
              <w:top w:val="single" w:sz="8" w:space="0" w:color="000000"/>
              <w:left w:val="single" w:sz="8" w:space="0" w:color="000000"/>
              <w:bottom w:val="single" w:sz="8" w:space="0" w:color="000000"/>
              <w:right w:val="single" w:sz="8" w:space="0" w:color="000000"/>
            </w:tcBorders>
          </w:tcPr>
          <w:p w14:paraId="3E603B47" w14:textId="77777777" w:rsidR="00316462" w:rsidRPr="00721C11" w:rsidRDefault="00316462" w:rsidP="00577F15">
            <w:pPr>
              <w:tabs>
                <w:tab w:val="left" w:pos="1134"/>
              </w:tabs>
              <w:spacing w:before="120" w:after="120"/>
              <w:jc w:val="both"/>
              <w:rPr>
                <w:rFonts w:cs="Arial"/>
                <w:lang w:val="en-GB"/>
              </w:rPr>
            </w:pPr>
            <w:r w:rsidRPr="00721C11">
              <w:rPr>
                <w:rFonts w:cs="Arial"/>
                <w:lang w:val="en-GB"/>
              </w:rPr>
              <w:t>At risk</w:t>
            </w:r>
          </w:p>
        </w:tc>
      </w:tr>
      <w:tr w:rsidR="00316462" w:rsidRPr="00721C11" w14:paraId="61B84F43" w14:textId="77777777" w:rsidTr="001E5A3E">
        <w:trPr>
          <w:trHeight w:val="581"/>
        </w:trPr>
        <w:tc>
          <w:tcPr>
            <w:tcW w:w="4140" w:type="dxa"/>
            <w:tcBorders>
              <w:top w:val="single" w:sz="8" w:space="0" w:color="000000"/>
              <w:left w:val="single" w:sz="8" w:space="0" w:color="000000"/>
              <w:bottom w:val="single" w:sz="8" w:space="0" w:color="000000"/>
              <w:right w:val="single" w:sz="8" w:space="0" w:color="000000"/>
            </w:tcBorders>
          </w:tcPr>
          <w:p w14:paraId="779868B2" w14:textId="77777777" w:rsidR="00316462" w:rsidRPr="00721C11" w:rsidRDefault="00316462" w:rsidP="00577F15">
            <w:pPr>
              <w:tabs>
                <w:tab w:val="left" w:pos="1134"/>
              </w:tabs>
              <w:spacing w:before="120" w:after="120"/>
              <w:jc w:val="both"/>
              <w:rPr>
                <w:rFonts w:cs="Arial"/>
                <w:lang w:val="en-GB"/>
              </w:rPr>
            </w:pPr>
            <w:r w:rsidRPr="00721C11">
              <w:rPr>
                <w:rFonts w:cs="Arial"/>
                <w:lang w:val="en-GB"/>
              </w:rPr>
              <w:t>Third Party Liability</w:t>
            </w:r>
          </w:p>
        </w:tc>
        <w:tc>
          <w:tcPr>
            <w:tcW w:w="3420" w:type="dxa"/>
            <w:tcBorders>
              <w:top w:val="single" w:sz="8" w:space="0" w:color="000000"/>
              <w:left w:val="single" w:sz="8" w:space="0" w:color="000000"/>
              <w:bottom w:val="single" w:sz="8" w:space="0" w:color="000000"/>
              <w:right w:val="single" w:sz="8" w:space="0" w:color="000000"/>
            </w:tcBorders>
          </w:tcPr>
          <w:p w14:paraId="2CF56B21" w14:textId="77777777" w:rsidR="00316462" w:rsidRPr="00721C11" w:rsidRDefault="00316462" w:rsidP="00577F15">
            <w:pPr>
              <w:tabs>
                <w:tab w:val="left" w:pos="1134"/>
              </w:tabs>
              <w:spacing w:before="120" w:after="120"/>
              <w:jc w:val="both"/>
              <w:rPr>
                <w:rFonts w:cs="Arial"/>
                <w:lang w:val="en-GB"/>
              </w:rPr>
            </w:pPr>
            <w:r w:rsidRPr="00721C11">
              <w:rPr>
                <w:rFonts w:cs="Arial"/>
                <w:lang w:val="en-GB"/>
              </w:rPr>
              <w:t xml:space="preserve">50,000,000.00 </w:t>
            </w:r>
          </w:p>
        </w:tc>
        <w:tc>
          <w:tcPr>
            <w:tcW w:w="1997" w:type="dxa"/>
            <w:tcBorders>
              <w:top w:val="single" w:sz="8" w:space="0" w:color="000000"/>
              <w:left w:val="single" w:sz="8" w:space="0" w:color="000000"/>
              <w:bottom w:val="single" w:sz="8" w:space="0" w:color="000000"/>
              <w:right w:val="single" w:sz="8" w:space="0" w:color="000000"/>
            </w:tcBorders>
          </w:tcPr>
          <w:p w14:paraId="5E1B8B35" w14:textId="77777777" w:rsidR="00316462" w:rsidRPr="00721C11" w:rsidRDefault="00316462" w:rsidP="00577F15">
            <w:pPr>
              <w:tabs>
                <w:tab w:val="left" w:pos="1134"/>
              </w:tabs>
              <w:spacing w:before="120" w:after="120"/>
              <w:jc w:val="both"/>
              <w:rPr>
                <w:rFonts w:cs="Arial"/>
                <w:lang w:val="en-GB"/>
              </w:rPr>
            </w:pPr>
            <w:r w:rsidRPr="00721C11">
              <w:rPr>
                <w:rFonts w:cs="Arial"/>
                <w:lang w:val="en-GB"/>
              </w:rPr>
              <w:t xml:space="preserve">By occurrence and aggregate </w:t>
            </w:r>
          </w:p>
        </w:tc>
      </w:tr>
    </w:tbl>
    <w:p w14:paraId="76C5A377" w14:textId="77777777" w:rsidR="00BC1435" w:rsidRPr="00721C11" w:rsidRDefault="00BC1435" w:rsidP="00577F15">
      <w:pPr>
        <w:tabs>
          <w:tab w:val="left" w:pos="1134"/>
        </w:tabs>
        <w:spacing w:before="120" w:after="120"/>
        <w:jc w:val="both"/>
        <w:outlineLvl w:val="3"/>
        <w:rPr>
          <w:rFonts w:cs="Arial"/>
          <w:lang w:val="en-US"/>
        </w:rPr>
      </w:pPr>
    </w:p>
    <w:p w14:paraId="171CFC2D" w14:textId="77777777" w:rsidR="00BC1435" w:rsidRPr="00721C11" w:rsidRDefault="00BC1435" w:rsidP="00EF0AD6">
      <w:pPr>
        <w:pStyle w:val="texto4"/>
      </w:pPr>
      <w:r w:rsidRPr="00721C11">
        <w:t xml:space="preserve">Deductibles (100% of Insured Interest) </w:t>
      </w:r>
    </w:p>
    <w:tbl>
      <w:tblPr>
        <w:tblW w:w="0" w:type="auto"/>
        <w:jc w:val="center"/>
        <w:tblLook w:val="0000" w:firstRow="0" w:lastRow="0" w:firstColumn="0" w:lastColumn="0" w:noHBand="0" w:noVBand="0"/>
      </w:tblPr>
      <w:tblGrid>
        <w:gridCol w:w="5159"/>
        <w:gridCol w:w="3325"/>
      </w:tblGrid>
      <w:tr w:rsidR="00B977F8" w:rsidRPr="00721C11" w14:paraId="7FCF098C" w14:textId="77777777" w:rsidTr="00350F90">
        <w:trPr>
          <w:trHeight w:hRule="exact" w:val="851"/>
          <w:jc w:val="center"/>
        </w:trPr>
        <w:tc>
          <w:tcPr>
            <w:tcW w:w="6062" w:type="dxa"/>
            <w:tcBorders>
              <w:top w:val="single" w:sz="8" w:space="0" w:color="000000"/>
              <w:left w:val="single" w:sz="8" w:space="0" w:color="000000"/>
              <w:bottom w:val="single" w:sz="8" w:space="0" w:color="000000"/>
              <w:right w:val="single" w:sz="8" w:space="0" w:color="000000"/>
            </w:tcBorders>
          </w:tcPr>
          <w:p w14:paraId="4E030C36" w14:textId="77777777" w:rsidR="00BC1435" w:rsidRPr="00721C11" w:rsidRDefault="00BC1435" w:rsidP="003F640F">
            <w:pPr>
              <w:tabs>
                <w:tab w:val="left" w:pos="1134"/>
              </w:tabs>
              <w:spacing w:after="120"/>
              <w:jc w:val="center"/>
              <w:outlineLvl w:val="3"/>
              <w:rPr>
                <w:rFonts w:cs="Arial"/>
              </w:rPr>
            </w:pPr>
            <w:r w:rsidRPr="00721C11">
              <w:rPr>
                <w:rFonts w:cs="Arial"/>
              </w:rPr>
              <w:t>DESCRIPTION</w:t>
            </w:r>
          </w:p>
        </w:tc>
        <w:tc>
          <w:tcPr>
            <w:tcW w:w="3791" w:type="dxa"/>
            <w:tcBorders>
              <w:top w:val="single" w:sz="8" w:space="0" w:color="000000"/>
              <w:left w:val="single" w:sz="8" w:space="0" w:color="000000"/>
              <w:bottom w:val="single" w:sz="8" w:space="0" w:color="000000"/>
              <w:right w:val="single" w:sz="8" w:space="0" w:color="000000"/>
            </w:tcBorders>
          </w:tcPr>
          <w:p w14:paraId="65F8407E" w14:textId="77777777" w:rsidR="00BC1435" w:rsidRPr="00721C11" w:rsidRDefault="00BC1435" w:rsidP="003F640F">
            <w:pPr>
              <w:tabs>
                <w:tab w:val="left" w:pos="1134"/>
              </w:tabs>
              <w:spacing w:after="120"/>
              <w:jc w:val="center"/>
              <w:outlineLvl w:val="3"/>
              <w:rPr>
                <w:rFonts w:cs="Arial"/>
              </w:rPr>
            </w:pPr>
            <w:r w:rsidRPr="00721C11">
              <w:rPr>
                <w:rFonts w:cs="Arial"/>
              </w:rPr>
              <w:t>AMOUNT (US$)</w:t>
            </w:r>
          </w:p>
        </w:tc>
      </w:tr>
      <w:tr w:rsidR="00B977F8" w:rsidRPr="00721C11" w14:paraId="2DA41362" w14:textId="77777777" w:rsidTr="003F640F">
        <w:trPr>
          <w:trHeight w:hRule="exact" w:val="851"/>
          <w:jc w:val="center"/>
        </w:trPr>
        <w:tc>
          <w:tcPr>
            <w:tcW w:w="6062" w:type="dxa"/>
            <w:tcBorders>
              <w:top w:val="single" w:sz="8" w:space="0" w:color="000000"/>
              <w:left w:val="single" w:sz="8" w:space="0" w:color="000000"/>
              <w:bottom w:val="single" w:sz="8" w:space="0" w:color="000000"/>
              <w:right w:val="single" w:sz="8" w:space="0" w:color="000000"/>
            </w:tcBorders>
          </w:tcPr>
          <w:p w14:paraId="44AE2FA7" w14:textId="77777777" w:rsidR="00BC1435" w:rsidRPr="00721C11" w:rsidRDefault="00BC1435" w:rsidP="003F640F">
            <w:pPr>
              <w:tabs>
                <w:tab w:val="left" w:pos="1134"/>
              </w:tabs>
              <w:spacing w:after="120"/>
              <w:jc w:val="both"/>
              <w:outlineLvl w:val="3"/>
              <w:rPr>
                <w:rFonts w:cs="Arial"/>
                <w:lang w:val="en-GB"/>
              </w:rPr>
            </w:pPr>
            <w:r w:rsidRPr="00721C11">
              <w:rPr>
                <w:rFonts w:cs="Arial"/>
                <w:lang w:val="en-GB"/>
              </w:rPr>
              <w:t>Cargo Transits</w:t>
            </w:r>
          </w:p>
        </w:tc>
        <w:tc>
          <w:tcPr>
            <w:tcW w:w="3791" w:type="dxa"/>
            <w:tcBorders>
              <w:top w:val="single" w:sz="8" w:space="0" w:color="000000"/>
              <w:left w:val="single" w:sz="8" w:space="0" w:color="000000"/>
              <w:bottom w:val="single" w:sz="8" w:space="0" w:color="000000"/>
              <w:right w:val="single" w:sz="8" w:space="0" w:color="000000"/>
            </w:tcBorders>
            <w:vAlign w:val="center"/>
          </w:tcPr>
          <w:p w14:paraId="6966F3CE" w14:textId="77777777" w:rsidR="00BC1435" w:rsidRPr="00721C11" w:rsidRDefault="00BC1435" w:rsidP="003F640F">
            <w:pPr>
              <w:tabs>
                <w:tab w:val="left" w:pos="1701"/>
              </w:tabs>
              <w:spacing w:beforeLines="100" w:afterLines="100" w:after="240"/>
              <w:jc w:val="center"/>
              <w:outlineLvl w:val="3"/>
              <w:rPr>
                <w:rFonts w:cs="Arial"/>
                <w:lang w:val="en-US"/>
              </w:rPr>
            </w:pPr>
            <w:r w:rsidRPr="00721C11">
              <w:rPr>
                <w:rFonts w:cs="Arial"/>
                <w:lang w:val="en-US"/>
              </w:rPr>
              <w:t>500,000.00</w:t>
            </w:r>
          </w:p>
        </w:tc>
      </w:tr>
      <w:tr w:rsidR="00B977F8" w:rsidRPr="00721C11" w14:paraId="151DC74F" w14:textId="77777777" w:rsidTr="003F640F">
        <w:trPr>
          <w:trHeight w:hRule="exact" w:val="851"/>
          <w:jc w:val="center"/>
        </w:trPr>
        <w:tc>
          <w:tcPr>
            <w:tcW w:w="6062" w:type="dxa"/>
            <w:tcBorders>
              <w:top w:val="single" w:sz="8" w:space="0" w:color="000000"/>
              <w:left w:val="single" w:sz="8" w:space="0" w:color="000000"/>
              <w:bottom w:val="single" w:sz="8" w:space="0" w:color="000000"/>
              <w:right w:val="single" w:sz="8" w:space="0" w:color="000000"/>
            </w:tcBorders>
          </w:tcPr>
          <w:p w14:paraId="0A885F83" w14:textId="77777777" w:rsidR="00BC1435" w:rsidRPr="00721C11" w:rsidRDefault="001B79EC" w:rsidP="003F640F">
            <w:pPr>
              <w:tabs>
                <w:tab w:val="left" w:pos="1134"/>
              </w:tabs>
              <w:spacing w:after="120"/>
              <w:jc w:val="both"/>
              <w:outlineLvl w:val="3"/>
              <w:rPr>
                <w:rFonts w:cs="Arial"/>
                <w:lang w:val="en-GB"/>
              </w:rPr>
            </w:pPr>
            <w:r w:rsidRPr="00721C11">
              <w:rPr>
                <w:rFonts w:cs="Arial"/>
                <w:lang w:val="en-GB"/>
              </w:rPr>
              <w:t>Onshore and / or Quayside Procurement / Fabrication / Project Works</w:t>
            </w:r>
          </w:p>
        </w:tc>
        <w:tc>
          <w:tcPr>
            <w:tcW w:w="3791" w:type="dxa"/>
            <w:tcBorders>
              <w:top w:val="single" w:sz="8" w:space="0" w:color="000000"/>
              <w:left w:val="single" w:sz="8" w:space="0" w:color="000000"/>
              <w:bottom w:val="single" w:sz="8" w:space="0" w:color="000000"/>
              <w:right w:val="single" w:sz="8" w:space="0" w:color="000000"/>
            </w:tcBorders>
            <w:vAlign w:val="center"/>
          </w:tcPr>
          <w:p w14:paraId="2CC4CDF4" w14:textId="77777777" w:rsidR="00BC1435" w:rsidRPr="00721C11" w:rsidRDefault="00BC1435" w:rsidP="003F640F">
            <w:pPr>
              <w:tabs>
                <w:tab w:val="left" w:pos="1701"/>
              </w:tabs>
              <w:spacing w:beforeLines="100" w:afterLines="100" w:after="240"/>
              <w:jc w:val="center"/>
              <w:outlineLvl w:val="3"/>
              <w:rPr>
                <w:rFonts w:cs="Arial"/>
                <w:b/>
                <w:color w:val="008000"/>
                <w:lang w:val="en-GB"/>
              </w:rPr>
            </w:pPr>
            <w:r w:rsidRPr="00721C11">
              <w:rPr>
                <w:rFonts w:cs="Arial"/>
                <w:lang w:val="en-US"/>
              </w:rPr>
              <w:t>500,000.00 per</w:t>
            </w:r>
            <w:r w:rsidRPr="00721C11">
              <w:rPr>
                <w:rFonts w:cs="Arial"/>
                <w:lang w:val="en-GB"/>
              </w:rPr>
              <w:t xml:space="preserve"> occurrence</w:t>
            </w:r>
          </w:p>
        </w:tc>
      </w:tr>
      <w:tr w:rsidR="00B977F8" w:rsidRPr="00721C11" w14:paraId="03C5F8C4" w14:textId="77777777" w:rsidTr="003F640F">
        <w:trPr>
          <w:trHeight w:hRule="exact" w:val="943"/>
          <w:jc w:val="center"/>
        </w:trPr>
        <w:tc>
          <w:tcPr>
            <w:tcW w:w="6062" w:type="dxa"/>
            <w:tcBorders>
              <w:top w:val="single" w:sz="8" w:space="0" w:color="000000"/>
              <w:left w:val="single" w:sz="8" w:space="0" w:color="000000"/>
              <w:bottom w:val="single" w:sz="8" w:space="0" w:color="000000"/>
              <w:right w:val="single" w:sz="8" w:space="0" w:color="000000"/>
            </w:tcBorders>
          </w:tcPr>
          <w:p w14:paraId="3273E7FC" w14:textId="77777777" w:rsidR="00BC1435" w:rsidRPr="00721C11" w:rsidRDefault="00BC1435" w:rsidP="003F640F">
            <w:pPr>
              <w:tabs>
                <w:tab w:val="left" w:pos="1134"/>
              </w:tabs>
              <w:spacing w:after="120"/>
              <w:jc w:val="both"/>
              <w:outlineLvl w:val="3"/>
              <w:rPr>
                <w:rFonts w:cs="Arial"/>
                <w:lang w:val="en-US"/>
              </w:rPr>
            </w:pPr>
            <w:r w:rsidRPr="00721C11">
              <w:rPr>
                <w:rFonts w:cs="Arial"/>
                <w:lang w:val="en-US"/>
              </w:rPr>
              <w:t xml:space="preserve">Offshore </w:t>
            </w:r>
            <w:r w:rsidR="00643C99" w:rsidRPr="00721C11">
              <w:rPr>
                <w:rFonts w:cs="Arial"/>
                <w:lang w:val="en-US"/>
              </w:rPr>
              <w:t xml:space="preserve">activities </w:t>
            </w:r>
            <w:r w:rsidRPr="00721C11">
              <w:rPr>
                <w:rFonts w:cs="Arial"/>
                <w:lang w:val="en-US"/>
              </w:rPr>
              <w:t xml:space="preserve">and Associated Subsequent Maintenance </w:t>
            </w:r>
          </w:p>
        </w:tc>
        <w:tc>
          <w:tcPr>
            <w:tcW w:w="3791" w:type="dxa"/>
            <w:tcBorders>
              <w:top w:val="single" w:sz="8" w:space="0" w:color="000000"/>
              <w:left w:val="single" w:sz="8" w:space="0" w:color="000000"/>
              <w:bottom w:val="single" w:sz="8" w:space="0" w:color="000000"/>
              <w:right w:val="single" w:sz="8" w:space="0" w:color="000000"/>
            </w:tcBorders>
            <w:vAlign w:val="center"/>
          </w:tcPr>
          <w:p w14:paraId="23977090" w14:textId="77777777" w:rsidR="00BC1435" w:rsidRPr="00721C11" w:rsidRDefault="00BC1435" w:rsidP="003F640F">
            <w:pPr>
              <w:tabs>
                <w:tab w:val="left" w:pos="1701"/>
              </w:tabs>
              <w:spacing w:beforeLines="100" w:afterLines="100" w:after="240"/>
              <w:jc w:val="center"/>
              <w:outlineLvl w:val="3"/>
              <w:rPr>
                <w:rFonts w:cs="Arial"/>
                <w:b/>
                <w:lang w:val="en-GB"/>
              </w:rPr>
            </w:pPr>
            <w:r w:rsidRPr="00721C11">
              <w:rPr>
                <w:rFonts w:cs="Arial"/>
                <w:lang w:val="en-US"/>
              </w:rPr>
              <w:t>1,500,000.00 per</w:t>
            </w:r>
            <w:r w:rsidRPr="00721C11">
              <w:rPr>
                <w:rFonts w:cs="Arial"/>
                <w:lang w:val="en-GB"/>
              </w:rPr>
              <w:t xml:space="preserve"> occurrence</w:t>
            </w:r>
          </w:p>
        </w:tc>
      </w:tr>
      <w:tr w:rsidR="00B977F8" w:rsidRPr="00721C11" w14:paraId="70FEF52E" w14:textId="77777777" w:rsidTr="003F640F">
        <w:trPr>
          <w:trHeight w:hRule="exact" w:val="851"/>
          <w:jc w:val="center"/>
        </w:trPr>
        <w:tc>
          <w:tcPr>
            <w:tcW w:w="6062" w:type="dxa"/>
            <w:tcBorders>
              <w:top w:val="single" w:sz="8" w:space="0" w:color="000000"/>
              <w:left w:val="single" w:sz="8" w:space="0" w:color="000000"/>
              <w:bottom w:val="single" w:sz="8" w:space="0" w:color="000000"/>
              <w:right w:val="single" w:sz="8" w:space="0" w:color="000000"/>
            </w:tcBorders>
          </w:tcPr>
          <w:p w14:paraId="5CE5305F" w14:textId="77777777" w:rsidR="00BC1435" w:rsidRPr="00721C11" w:rsidRDefault="00BC1435" w:rsidP="003F640F">
            <w:pPr>
              <w:tabs>
                <w:tab w:val="left" w:pos="1134"/>
              </w:tabs>
              <w:spacing w:after="120"/>
              <w:jc w:val="both"/>
              <w:outlineLvl w:val="3"/>
              <w:rPr>
                <w:rFonts w:cs="Arial"/>
                <w:lang w:val="en-US"/>
              </w:rPr>
            </w:pPr>
            <w:r w:rsidRPr="00721C11">
              <w:rPr>
                <w:rFonts w:cs="Arial"/>
                <w:lang w:val="en-US"/>
              </w:rPr>
              <w:t xml:space="preserve">Tows within Waters to Final Offshore Site or other Locations  </w:t>
            </w:r>
          </w:p>
        </w:tc>
        <w:tc>
          <w:tcPr>
            <w:tcW w:w="3791" w:type="dxa"/>
            <w:tcBorders>
              <w:top w:val="single" w:sz="8" w:space="0" w:color="000000"/>
              <w:left w:val="single" w:sz="8" w:space="0" w:color="000000"/>
              <w:bottom w:val="single" w:sz="8" w:space="0" w:color="000000"/>
              <w:right w:val="single" w:sz="8" w:space="0" w:color="000000"/>
            </w:tcBorders>
            <w:vAlign w:val="center"/>
          </w:tcPr>
          <w:p w14:paraId="5F7D9D0D" w14:textId="77777777" w:rsidR="00BC1435" w:rsidRPr="00721C11" w:rsidRDefault="00BC1435" w:rsidP="003F640F">
            <w:pPr>
              <w:tabs>
                <w:tab w:val="left" w:pos="1701"/>
              </w:tabs>
              <w:spacing w:beforeLines="100" w:afterLines="100" w:after="240"/>
              <w:jc w:val="center"/>
              <w:outlineLvl w:val="3"/>
              <w:rPr>
                <w:rFonts w:cs="Arial"/>
                <w:b/>
                <w:lang w:val="en-GB"/>
              </w:rPr>
            </w:pPr>
            <w:r w:rsidRPr="00721C11">
              <w:rPr>
                <w:rFonts w:cs="Arial"/>
                <w:lang w:val="en-US"/>
              </w:rPr>
              <w:t>1,500,000.00 per</w:t>
            </w:r>
            <w:r w:rsidRPr="00721C11">
              <w:rPr>
                <w:rFonts w:cs="Arial"/>
                <w:lang w:val="en-GB"/>
              </w:rPr>
              <w:t xml:space="preserve"> occurrence</w:t>
            </w:r>
          </w:p>
        </w:tc>
      </w:tr>
      <w:tr w:rsidR="00B977F8" w:rsidRPr="00721C11" w14:paraId="577C1CFB" w14:textId="77777777" w:rsidTr="003F640F">
        <w:trPr>
          <w:trHeight w:hRule="exact" w:val="851"/>
          <w:jc w:val="center"/>
        </w:trPr>
        <w:tc>
          <w:tcPr>
            <w:tcW w:w="6062" w:type="dxa"/>
            <w:tcBorders>
              <w:top w:val="single" w:sz="8" w:space="0" w:color="000000"/>
              <w:left w:val="single" w:sz="8" w:space="0" w:color="000000"/>
              <w:bottom w:val="single" w:sz="8" w:space="0" w:color="000000"/>
            </w:tcBorders>
          </w:tcPr>
          <w:p w14:paraId="0010D06A" w14:textId="77777777" w:rsidR="00BC1435" w:rsidRPr="00721C11" w:rsidRDefault="00BC1435" w:rsidP="003F640F">
            <w:pPr>
              <w:tabs>
                <w:tab w:val="left" w:pos="1134"/>
              </w:tabs>
              <w:spacing w:after="120"/>
              <w:jc w:val="both"/>
              <w:outlineLvl w:val="3"/>
              <w:rPr>
                <w:rFonts w:cs="Arial"/>
                <w:lang w:val="en-US"/>
              </w:rPr>
            </w:pPr>
            <w:r w:rsidRPr="00721C11">
              <w:rPr>
                <w:rFonts w:cs="Arial"/>
                <w:lang w:val="en-US"/>
              </w:rPr>
              <w:t xml:space="preserve">Stand-by Charges </w:t>
            </w:r>
            <w:r w:rsidR="001B79EC" w:rsidRPr="00721C11">
              <w:rPr>
                <w:rFonts w:cs="Arial"/>
                <w:lang w:val="en-US"/>
              </w:rPr>
              <w:t>(waiting period)</w:t>
            </w:r>
          </w:p>
        </w:tc>
        <w:tc>
          <w:tcPr>
            <w:tcW w:w="3791" w:type="dxa"/>
            <w:tcBorders>
              <w:top w:val="single" w:sz="8" w:space="0" w:color="000000"/>
              <w:left w:val="single" w:sz="8" w:space="0" w:color="000000"/>
              <w:bottom w:val="single" w:sz="8" w:space="0" w:color="000000"/>
              <w:right w:val="single" w:sz="8" w:space="0" w:color="000000"/>
            </w:tcBorders>
            <w:vAlign w:val="center"/>
          </w:tcPr>
          <w:p w14:paraId="201818CC" w14:textId="77777777" w:rsidR="00BC1435" w:rsidRPr="00721C11" w:rsidRDefault="00BC1435" w:rsidP="003F640F">
            <w:pPr>
              <w:tabs>
                <w:tab w:val="left" w:pos="1701"/>
              </w:tabs>
              <w:spacing w:beforeLines="100" w:afterLines="100" w:after="240"/>
              <w:jc w:val="center"/>
              <w:outlineLvl w:val="3"/>
              <w:rPr>
                <w:rFonts w:cs="Arial"/>
                <w:b/>
                <w:lang w:val="en-GB"/>
              </w:rPr>
            </w:pPr>
            <w:r w:rsidRPr="00721C11">
              <w:rPr>
                <w:rFonts w:cs="Arial"/>
                <w:lang w:val="en-US"/>
              </w:rPr>
              <w:t>72 hours</w:t>
            </w:r>
          </w:p>
        </w:tc>
      </w:tr>
      <w:tr w:rsidR="00B977F8" w:rsidRPr="00721C11" w14:paraId="404EEC97" w14:textId="77777777" w:rsidTr="003F640F">
        <w:trPr>
          <w:trHeight w:hRule="exact" w:val="851"/>
          <w:jc w:val="center"/>
        </w:trPr>
        <w:tc>
          <w:tcPr>
            <w:tcW w:w="6062" w:type="dxa"/>
            <w:tcBorders>
              <w:top w:val="single" w:sz="8" w:space="0" w:color="000000"/>
              <w:left w:val="single" w:sz="8" w:space="0" w:color="000000"/>
              <w:bottom w:val="single" w:sz="8" w:space="0" w:color="000000"/>
            </w:tcBorders>
          </w:tcPr>
          <w:p w14:paraId="4F70AC9D" w14:textId="77777777" w:rsidR="00BC1435" w:rsidRPr="00721C11" w:rsidRDefault="00BC1435" w:rsidP="003F640F">
            <w:pPr>
              <w:tabs>
                <w:tab w:val="left" w:pos="1134"/>
              </w:tabs>
              <w:spacing w:after="120"/>
              <w:jc w:val="both"/>
              <w:outlineLvl w:val="3"/>
              <w:rPr>
                <w:rFonts w:cs="Arial"/>
                <w:lang w:val="en-US"/>
              </w:rPr>
            </w:pPr>
            <w:r w:rsidRPr="00721C11">
              <w:rPr>
                <w:rFonts w:cs="Arial"/>
                <w:lang w:val="en-US"/>
              </w:rPr>
              <w:t xml:space="preserve">All </w:t>
            </w:r>
            <w:r w:rsidR="00316275" w:rsidRPr="00721C11">
              <w:rPr>
                <w:rFonts w:cs="Arial"/>
                <w:lang w:val="en-US"/>
              </w:rPr>
              <w:t xml:space="preserve">others </w:t>
            </w:r>
            <w:r w:rsidRPr="00721C11">
              <w:rPr>
                <w:rFonts w:cs="Arial"/>
                <w:lang w:val="en-US"/>
              </w:rPr>
              <w:t xml:space="preserve">Non-Specified Activities  </w:t>
            </w:r>
          </w:p>
        </w:tc>
        <w:tc>
          <w:tcPr>
            <w:tcW w:w="3791" w:type="dxa"/>
            <w:tcBorders>
              <w:top w:val="single" w:sz="8" w:space="0" w:color="000000"/>
              <w:left w:val="single" w:sz="8" w:space="0" w:color="000000"/>
              <w:bottom w:val="single" w:sz="8" w:space="0" w:color="000000"/>
              <w:right w:val="single" w:sz="8" w:space="0" w:color="000000"/>
            </w:tcBorders>
            <w:vAlign w:val="center"/>
          </w:tcPr>
          <w:p w14:paraId="309ADE4D" w14:textId="77777777" w:rsidR="00BC1435" w:rsidRPr="00721C11" w:rsidRDefault="00BC1435" w:rsidP="003F640F">
            <w:pPr>
              <w:tabs>
                <w:tab w:val="left" w:pos="1701"/>
              </w:tabs>
              <w:spacing w:beforeLines="100" w:afterLines="100" w:after="240"/>
              <w:jc w:val="center"/>
              <w:outlineLvl w:val="3"/>
              <w:rPr>
                <w:rFonts w:cs="Arial"/>
                <w:b/>
                <w:lang w:val="en-GB"/>
              </w:rPr>
            </w:pPr>
            <w:r w:rsidRPr="00721C11">
              <w:rPr>
                <w:rFonts w:cs="Arial"/>
                <w:lang w:val="en-US"/>
              </w:rPr>
              <w:t>1,500,000.00 per</w:t>
            </w:r>
            <w:r w:rsidRPr="00721C11">
              <w:rPr>
                <w:rFonts w:cs="Arial"/>
                <w:lang w:val="en-GB"/>
              </w:rPr>
              <w:t xml:space="preserve"> occurrence</w:t>
            </w:r>
          </w:p>
        </w:tc>
      </w:tr>
      <w:tr w:rsidR="00B977F8" w:rsidRPr="00721C11" w14:paraId="2790BD96" w14:textId="77777777" w:rsidTr="003F640F">
        <w:trPr>
          <w:trHeight w:hRule="exact" w:val="851"/>
          <w:jc w:val="center"/>
        </w:trPr>
        <w:tc>
          <w:tcPr>
            <w:tcW w:w="6062" w:type="dxa"/>
            <w:tcBorders>
              <w:top w:val="single" w:sz="8" w:space="0" w:color="000000"/>
              <w:left w:val="single" w:sz="8" w:space="0" w:color="000000"/>
              <w:bottom w:val="single" w:sz="8" w:space="0" w:color="000000"/>
            </w:tcBorders>
          </w:tcPr>
          <w:p w14:paraId="2ED734AC" w14:textId="77777777" w:rsidR="00BC1435" w:rsidRPr="00721C11" w:rsidRDefault="00BC1435" w:rsidP="003F640F">
            <w:pPr>
              <w:tabs>
                <w:tab w:val="left" w:pos="1134"/>
              </w:tabs>
              <w:spacing w:after="120"/>
              <w:jc w:val="both"/>
              <w:outlineLvl w:val="3"/>
              <w:rPr>
                <w:rFonts w:cs="Arial"/>
                <w:lang w:val="en-US"/>
              </w:rPr>
            </w:pPr>
            <w:r w:rsidRPr="00721C11">
              <w:rPr>
                <w:rFonts w:cs="Arial"/>
                <w:lang w:val="en-US"/>
              </w:rPr>
              <w:t xml:space="preserve">Third Party Liability </w:t>
            </w:r>
          </w:p>
        </w:tc>
        <w:tc>
          <w:tcPr>
            <w:tcW w:w="3791" w:type="dxa"/>
            <w:tcBorders>
              <w:top w:val="single" w:sz="8" w:space="0" w:color="000000"/>
              <w:left w:val="single" w:sz="8" w:space="0" w:color="000000"/>
              <w:bottom w:val="single" w:sz="8" w:space="0" w:color="000000"/>
              <w:right w:val="single" w:sz="8" w:space="0" w:color="000000"/>
            </w:tcBorders>
            <w:vAlign w:val="center"/>
          </w:tcPr>
          <w:p w14:paraId="110C7FD5" w14:textId="77777777" w:rsidR="00BC1435" w:rsidRPr="00721C11" w:rsidRDefault="00BC1435" w:rsidP="003F640F">
            <w:pPr>
              <w:tabs>
                <w:tab w:val="left" w:pos="1701"/>
              </w:tabs>
              <w:spacing w:beforeLines="100" w:afterLines="100" w:after="240"/>
              <w:jc w:val="center"/>
              <w:outlineLvl w:val="3"/>
              <w:rPr>
                <w:rFonts w:cs="Arial"/>
                <w:b/>
                <w:color w:val="008000"/>
                <w:lang w:val="en-GB"/>
              </w:rPr>
            </w:pPr>
            <w:r w:rsidRPr="00721C11">
              <w:rPr>
                <w:rFonts w:cs="Arial"/>
                <w:lang w:val="en-US"/>
              </w:rPr>
              <w:t>250,000.00 per</w:t>
            </w:r>
            <w:r w:rsidRPr="00721C11">
              <w:rPr>
                <w:rFonts w:cs="Arial"/>
                <w:lang w:val="en-GB"/>
              </w:rPr>
              <w:t xml:space="preserve"> occurrence</w:t>
            </w:r>
          </w:p>
        </w:tc>
      </w:tr>
      <w:tr w:rsidR="001B79EC" w:rsidRPr="00721C11" w14:paraId="02F74153" w14:textId="77777777" w:rsidTr="003F640F">
        <w:trPr>
          <w:trHeight w:hRule="exact" w:val="851"/>
          <w:jc w:val="center"/>
        </w:trPr>
        <w:tc>
          <w:tcPr>
            <w:tcW w:w="6062" w:type="dxa"/>
            <w:tcBorders>
              <w:top w:val="single" w:sz="8" w:space="0" w:color="000000"/>
              <w:left w:val="single" w:sz="8" w:space="0" w:color="000000"/>
              <w:bottom w:val="single" w:sz="8" w:space="0" w:color="000000"/>
            </w:tcBorders>
          </w:tcPr>
          <w:p w14:paraId="76C5E799" w14:textId="77777777" w:rsidR="001B79EC" w:rsidRPr="00721C11" w:rsidRDefault="001B79EC" w:rsidP="003F640F">
            <w:pPr>
              <w:tabs>
                <w:tab w:val="left" w:pos="1134"/>
              </w:tabs>
              <w:spacing w:after="120"/>
              <w:jc w:val="both"/>
              <w:outlineLvl w:val="3"/>
              <w:rPr>
                <w:rFonts w:cs="Arial"/>
                <w:lang w:val="en-US"/>
              </w:rPr>
            </w:pPr>
            <w:r w:rsidRPr="00721C11">
              <w:rPr>
                <w:rFonts w:cs="Arial"/>
                <w:lang w:val="en-US"/>
              </w:rPr>
              <w:lastRenderedPageBreak/>
              <w:t>Defective Part</w:t>
            </w:r>
          </w:p>
        </w:tc>
        <w:tc>
          <w:tcPr>
            <w:tcW w:w="3791" w:type="dxa"/>
            <w:tcBorders>
              <w:top w:val="single" w:sz="8" w:space="0" w:color="000000"/>
              <w:left w:val="single" w:sz="8" w:space="0" w:color="000000"/>
              <w:bottom w:val="single" w:sz="8" w:space="0" w:color="000000"/>
              <w:right w:val="single" w:sz="8" w:space="0" w:color="000000"/>
            </w:tcBorders>
            <w:vAlign w:val="center"/>
          </w:tcPr>
          <w:p w14:paraId="2152DD0F" w14:textId="77777777" w:rsidR="001B79EC" w:rsidRPr="00721C11" w:rsidRDefault="001B79EC" w:rsidP="003F640F">
            <w:pPr>
              <w:tabs>
                <w:tab w:val="left" w:pos="1701"/>
              </w:tabs>
              <w:spacing w:beforeLines="100" w:afterLines="100" w:after="240"/>
              <w:jc w:val="center"/>
              <w:outlineLvl w:val="3"/>
              <w:rPr>
                <w:rFonts w:cs="Arial"/>
                <w:lang w:val="en-US"/>
              </w:rPr>
            </w:pPr>
            <w:r w:rsidRPr="00721C11">
              <w:rPr>
                <w:rFonts w:cs="Arial"/>
                <w:lang w:val="en-US"/>
              </w:rPr>
              <w:t>3,000,000.00 per occurrence</w:t>
            </w:r>
          </w:p>
        </w:tc>
      </w:tr>
    </w:tbl>
    <w:p w14:paraId="6291BB75" w14:textId="77777777" w:rsidR="00BC1435" w:rsidRPr="00721C11" w:rsidRDefault="00BC1435" w:rsidP="00577F15">
      <w:pPr>
        <w:tabs>
          <w:tab w:val="left" w:pos="1134"/>
        </w:tabs>
        <w:spacing w:before="120" w:after="120"/>
        <w:jc w:val="both"/>
        <w:outlineLvl w:val="3"/>
        <w:rPr>
          <w:rFonts w:cs="Arial"/>
          <w:lang w:val="en-US"/>
        </w:rPr>
      </w:pPr>
    </w:p>
    <w:p w14:paraId="0BD15B17" w14:textId="77777777" w:rsidR="00316462" w:rsidRPr="00721C11" w:rsidRDefault="0028019A" w:rsidP="00EF0AD6">
      <w:pPr>
        <w:pStyle w:val="texto4"/>
      </w:pPr>
      <w:r w:rsidRPr="00721C11">
        <w:t>Coverage</w:t>
      </w:r>
      <w:r w:rsidR="00316462" w:rsidRPr="00721C11">
        <w:t xml:space="preserve"> with Specific Sub-limits (Valid to 100% of Insurable Interest)</w:t>
      </w:r>
    </w:p>
    <w:p w14:paraId="79A034D4" w14:textId="77777777" w:rsidR="00316462" w:rsidRPr="00721C11" w:rsidRDefault="00316462" w:rsidP="00EF0AD6">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3.1.</w:t>
      </w:r>
      <w:r w:rsidR="00C87A7B" w:rsidRPr="00721C11">
        <w:rPr>
          <w:rFonts w:cs="Arial"/>
          <w:lang w:val="en-US"/>
        </w:rPr>
        <w:t>7</w:t>
      </w:r>
      <w:r w:rsidRPr="00721C11">
        <w:rPr>
          <w:rFonts w:cs="Arial"/>
          <w:lang w:val="en-US"/>
        </w:rPr>
        <w:t>.7.1</w:t>
      </w:r>
      <w:r w:rsidRPr="00721C11">
        <w:rPr>
          <w:rFonts w:cs="Arial"/>
          <w:lang w:val="en-US"/>
        </w:rPr>
        <w:tab/>
        <w:t>The coverage below is subject to the following Sub-limits:</w:t>
      </w:r>
    </w:p>
    <w:p w14:paraId="1217A10E" w14:textId="77777777" w:rsidR="00316462" w:rsidRPr="00721C11" w:rsidRDefault="006C41E7" w:rsidP="00721C11">
      <w:pPr>
        <w:tabs>
          <w:tab w:val="left" w:pos="1134"/>
        </w:tabs>
        <w:spacing w:before="120" w:after="120"/>
        <w:ind w:left="1985"/>
        <w:jc w:val="both"/>
        <w:outlineLvl w:val="5"/>
        <w:rPr>
          <w:rFonts w:cs="Arial"/>
          <w:lang w:val="en-US"/>
        </w:rPr>
      </w:pPr>
      <w:r w:rsidRPr="00721C11">
        <w:rPr>
          <w:rFonts w:cs="Arial"/>
          <w:lang w:val="en-US"/>
        </w:rPr>
        <w:t>a</w:t>
      </w:r>
      <w:proofErr w:type="gramStart"/>
      <w:r w:rsidRPr="00721C11">
        <w:rPr>
          <w:rFonts w:cs="Arial"/>
          <w:lang w:val="en-US"/>
        </w:rPr>
        <w:t>)</w:t>
      </w:r>
      <w:r w:rsidR="00B8230F" w:rsidRPr="00721C11">
        <w:rPr>
          <w:rFonts w:cs="Arial"/>
          <w:lang w:val="en-US"/>
        </w:rPr>
        <w:tab/>
      </w:r>
      <w:r w:rsidRPr="00721C11">
        <w:rPr>
          <w:rFonts w:cs="Arial"/>
          <w:lang w:val="en-US"/>
        </w:rPr>
        <w:t xml:space="preserve"> </w:t>
      </w:r>
      <w:r w:rsidR="00316462" w:rsidRPr="00721C11">
        <w:rPr>
          <w:rFonts w:cs="Arial"/>
          <w:lang w:val="en-US"/>
        </w:rPr>
        <w:t>Defective</w:t>
      </w:r>
      <w:proofErr w:type="gramEnd"/>
      <w:r w:rsidR="00316462" w:rsidRPr="00721C11">
        <w:rPr>
          <w:rFonts w:cs="Arial"/>
          <w:lang w:val="en-US"/>
        </w:rPr>
        <w:t xml:space="preserve"> Part Buyback Endorsement: Sub limit of US$5,000,000.00 per occurrence and in the aggregate.</w:t>
      </w:r>
    </w:p>
    <w:p w14:paraId="2F8A4943" w14:textId="77777777" w:rsidR="00316462" w:rsidRPr="00721C11" w:rsidRDefault="00316462" w:rsidP="00EF0AD6">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3.1.</w:t>
      </w:r>
      <w:r w:rsidR="00C87A7B" w:rsidRPr="00721C11">
        <w:rPr>
          <w:rFonts w:cs="Arial"/>
          <w:lang w:val="en-US"/>
        </w:rPr>
        <w:t>7</w:t>
      </w:r>
      <w:r w:rsidRPr="00721C11">
        <w:rPr>
          <w:rFonts w:cs="Arial"/>
          <w:lang w:val="en-US"/>
        </w:rPr>
        <w:t xml:space="preserve">.7.2 </w:t>
      </w:r>
      <w:r w:rsidRPr="00721C11">
        <w:rPr>
          <w:rFonts w:cs="Arial"/>
          <w:lang w:val="en-US"/>
        </w:rPr>
        <w:tab/>
        <w:t>Each of the</w:t>
      </w:r>
      <w:r w:rsidR="00C073A1" w:rsidRPr="00EF0AD6">
        <w:rPr>
          <w:rFonts w:cs="Arial"/>
          <w:lang w:val="en-US"/>
        </w:rPr>
        <w:t xml:space="preserve"> coverage </w:t>
      </w:r>
      <w:r w:rsidRPr="00721C11">
        <w:rPr>
          <w:rFonts w:cs="Arial"/>
          <w:lang w:val="en-US"/>
        </w:rPr>
        <w:t xml:space="preserve">below is subject to the specified sub-limits </w:t>
      </w:r>
      <w:proofErr w:type="gramStart"/>
      <w:r w:rsidRPr="00721C11">
        <w:rPr>
          <w:rFonts w:cs="Arial"/>
          <w:lang w:val="en-US"/>
        </w:rPr>
        <w:t>and also</w:t>
      </w:r>
      <w:proofErr w:type="gramEnd"/>
      <w:r w:rsidRPr="00721C11">
        <w:rPr>
          <w:rFonts w:cs="Arial"/>
          <w:lang w:val="en-US"/>
        </w:rPr>
        <w:t xml:space="preserve"> to a joint aggregate limit of US$20,000,000.00:</w:t>
      </w:r>
    </w:p>
    <w:p w14:paraId="67296B80" w14:textId="77777777" w:rsidR="00316462" w:rsidRPr="00721C11" w:rsidRDefault="006C41E7" w:rsidP="00721C11">
      <w:pPr>
        <w:tabs>
          <w:tab w:val="left" w:pos="1134"/>
        </w:tabs>
        <w:spacing w:before="120" w:after="120"/>
        <w:ind w:left="1985"/>
        <w:jc w:val="both"/>
        <w:outlineLvl w:val="5"/>
        <w:rPr>
          <w:rFonts w:cs="Arial"/>
          <w:lang w:val="en-US"/>
        </w:rPr>
      </w:pPr>
      <w:r w:rsidRPr="00721C11">
        <w:rPr>
          <w:rFonts w:cs="Arial"/>
          <w:lang w:val="en-US"/>
        </w:rPr>
        <w:t>a</w:t>
      </w:r>
      <w:proofErr w:type="gramStart"/>
      <w:r w:rsidRPr="00721C11">
        <w:rPr>
          <w:rFonts w:cs="Arial"/>
          <w:lang w:val="en-US"/>
        </w:rPr>
        <w:t>)</w:t>
      </w:r>
      <w:r w:rsidR="0028019A" w:rsidRPr="00721C11">
        <w:rPr>
          <w:rFonts w:cs="Arial"/>
          <w:lang w:val="en-US"/>
        </w:rPr>
        <w:t xml:space="preserve"> </w:t>
      </w:r>
      <w:r w:rsidR="00B8230F" w:rsidRPr="00721C11">
        <w:rPr>
          <w:rFonts w:cs="Arial"/>
          <w:lang w:val="en-US"/>
        </w:rPr>
        <w:tab/>
      </w:r>
      <w:r w:rsidR="00316462" w:rsidRPr="00721C11">
        <w:rPr>
          <w:rFonts w:cs="Arial"/>
          <w:lang w:val="en-US"/>
        </w:rPr>
        <w:t>Offshore</w:t>
      </w:r>
      <w:proofErr w:type="gramEnd"/>
      <w:r w:rsidR="00316462" w:rsidRPr="00721C11">
        <w:rPr>
          <w:rFonts w:cs="Arial"/>
          <w:lang w:val="en-US"/>
        </w:rPr>
        <w:t xml:space="preserve"> Cancellation Costs Clause: Sub-limit of US$10,000,000.00 per occurrence and in the </w:t>
      </w:r>
      <w:proofErr w:type="gramStart"/>
      <w:r w:rsidR="00316462" w:rsidRPr="00721C11">
        <w:rPr>
          <w:rFonts w:cs="Arial"/>
          <w:lang w:val="en-US"/>
        </w:rPr>
        <w:t>aggregate;</w:t>
      </w:r>
      <w:proofErr w:type="gramEnd"/>
    </w:p>
    <w:p w14:paraId="3B0DF760" w14:textId="77777777" w:rsidR="00316462" w:rsidRPr="00721C11" w:rsidRDefault="006C41E7" w:rsidP="00721C11">
      <w:pPr>
        <w:tabs>
          <w:tab w:val="left" w:pos="1134"/>
        </w:tabs>
        <w:spacing w:before="120" w:after="120"/>
        <w:ind w:left="1985"/>
        <w:jc w:val="both"/>
        <w:outlineLvl w:val="5"/>
        <w:rPr>
          <w:rFonts w:cs="Arial"/>
          <w:lang w:val="en-US"/>
        </w:rPr>
      </w:pPr>
      <w:r w:rsidRPr="00721C11">
        <w:rPr>
          <w:rFonts w:cs="Arial"/>
          <w:lang w:val="en-US"/>
        </w:rPr>
        <w:t>b</w:t>
      </w:r>
      <w:proofErr w:type="gramStart"/>
      <w:r w:rsidRPr="00721C11">
        <w:rPr>
          <w:rFonts w:cs="Arial"/>
          <w:lang w:val="en-US"/>
        </w:rPr>
        <w:t>)</w:t>
      </w:r>
      <w:r w:rsidR="0028019A" w:rsidRPr="00721C11">
        <w:rPr>
          <w:rFonts w:cs="Arial"/>
          <w:lang w:val="en-US"/>
        </w:rPr>
        <w:t xml:space="preserve"> </w:t>
      </w:r>
      <w:r w:rsidR="00B8230F" w:rsidRPr="00721C11">
        <w:rPr>
          <w:rFonts w:cs="Arial"/>
          <w:lang w:val="en-US"/>
        </w:rPr>
        <w:tab/>
      </w:r>
      <w:r w:rsidR="00316462" w:rsidRPr="00721C11">
        <w:rPr>
          <w:rFonts w:cs="Arial"/>
          <w:lang w:val="en-US"/>
        </w:rPr>
        <w:t>Standby</w:t>
      </w:r>
      <w:proofErr w:type="gramEnd"/>
      <w:r w:rsidR="00316462" w:rsidRPr="00721C11">
        <w:rPr>
          <w:rFonts w:cs="Arial"/>
          <w:lang w:val="en-US"/>
        </w:rPr>
        <w:t xml:space="preserve"> Clause: Sub-limit of US$10,000,000.00 per occurrence and in the </w:t>
      </w:r>
      <w:proofErr w:type="gramStart"/>
      <w:r w:rsidR="00316462" w:rsidRPr="00721C11">
        <w:rPr>
          <w:rFonts w:cs="Arial"/>
          <w:lang w:val="en-US"/>
        </w:rPr>
        <w:t>aggregate;</w:t>
      </w:r>
      <w:proofErr w:type="gramEnd"/>
      <w:r w:rsidR="00316462" w:rsidRPr="00721C11">
        <w:rPr>
          <w:rFonts w:cs="Arial"/>
          <w:lang w:val="en-US"/>
        </w:rPr>
        <w:t xml:space="preserve"> </w:t>
      </w:r>
    </w:p>
    <w:p w14:paraId="21D7EA9B" w14:textId="77777777" w:rsidR="00316462" w:rsidRPr="00721C11" w:rsidRDefault="006C41E7" w:rsidP="00721C11">
      <w:pPr>
        <w:tabs>
          <w:tab w:val="left" w:pos="1134"/>
        </w:tabs>
        <w:spacing w:before="120" w:after="120"/>
        <w:ind w:left="1985"/>
        <w:jc w:val="both"/>
        <w:outlineLvl w:val="5"/>
        <w:rPr>
          <w:rFonts w:cs="Arial"/>
          <w:lang w:val="en-US"/>
        </w:rPr>
      </w:pPr>
      <w:r w:rsidRPr="00721C11">
        <w:rPr>
          <w:rFonts w:cs="Arial"/>
          <w:lang w:val="en-US"/>
        </w:rPr>
        <w:t>c</w:t>
      </w:r>
      <w:proofErr w:type="gramStart"/>
      <w:r w:rsidRPr="00721C11">
        <w:rPr>
          <w:rFonts w:cs="Arial"/>
          <w:lang w:val="en-US"/>
        </w:rPr>
        <w:t xml:space="preserve">) </w:t>
      </w:r>
      <w:r w:rsidR="0028019A" w:rsidRPr="00721C11">
        <w:rPr>
          <w:rFonts w:cs="Arial"/>
          <w:lang w:val="en-US"/>
        </w:rPr>
        <w:t xml:space="preserve"> </w:t>
      </w:r>
      <w:r w:rsidR="00B8230F" w:rsidRPr="00721C11">
        <w:rPr>
          <w:rFonts w:cs="Arial"/>
          <w:lang w:val="en-US"/>
        </w:rPr>
        <w:tab/>
      </w:r>
      <w:proofErr w:type="gramEnd"/>
      <w:r w:rsidR="00316462" w:rsidRPr="00721C11">
        <w:rPr>
          <w:rFonts w:cs="Arial"/>
          <w:lang w:val="en-US"/>
        </w:rPr>
        <w:t xml:space="preserve">Forwarding Charges: Sub-limit of US$5,000,000.00 per occurrence and in the </w:t>
      </w:r>
      <w:proofErr w:type="gramStart"/>
      <w:r w:rsidR="00316462" w:rsidRPr="00721C11">
        <w:rPr>
          <w:rFonts w:cs="Arial"/>
          <w:lang w:val="en-US"/>
        </w:rPr>
        <w:t>aggregate;</w:t>
      </w:r>
      <w:proofErr w:type="gramEnd"/>
    </w:p>
    <w:p w14:paraId="734FEFC8" w14:textId="77777777" w:rsidR="00316462" w:rsidRPr="00721C11" w:rsidRDefault="006C41E7" w:rsidP="00721C11">
      <w:pPr>
        <w:tabs>
          <w:tab w:val="left" w:pos="1134"/>
        </w:tabs>
        <w:spacing w:before="120" w:after="120"/>
        <w:ind w:left="1985"/>
        <w:jc w:val="both"/>
        <w:outlineLvl w:val="5"/>
        <w:rPr>
          <w:rFonts w:cs="Arial"/>
          <w:lang w:val="en-US"/>
        </w:rPr>
      </w:pPr>
      <w:r w:rsidRPr="00721C11">
        <w:rPr>
          <w:rFonts w:cs="Arial"/>
          <w:lang w:val="en-US"/>
        </w:rPr>
        <w:t xml:space="preserve">d) </w:t>
      </w:r>
      <w:r w:rsidR="00B8230F" w:rsidRPr="00721C11">
        <w:rPr>
          <w:rFonts w:cs="Arial"/>
          <w:lang w:val="en-US"/>
        </w:rPr>
        <w:tab/>
      </w:r>
      <w:r w:rsidR="0028019A" w:rsidRPr="00721C11">
        <w:rPr>
          <w:rFonts w:cs="Arial"/>
          <w:lang w:val="en-US"/>
        </w:rPr>
        <w:t xml:space="preserve"> </w:t>
      </w:r>
      <w:r w:rsidR="00316462" w:rsidRPr="00721C11">
        <w:rPr>
          <w:rFonts w:cs="Arial"/>
          <w:lang w:val="en-US"/>
        </w:rPr>
        <w:t xml:space="preserve">Expediting Expenses: Sub-limit of US$5,000,000.00 per occurrence and in the </w:t>
      </w:r>
      <w:proofErr w:type="gramStart"/>
      <w:r w:rsidR="00316462" w:rsidRPr="00721C11">
        <w:rPr>
          <w:rFonts w:cs="Arial"/>
          <w:lang w:val="en-US"/>
        </w:rPr>
        <w:t>aggregate;</w:t>
      </w:r>
      <w:proofErr w:type="gramEnd"/>
      <w:r w:rsidR="00316462" w:rsidRPr="00721C11">
        <w:rPr>
          <w:rFonts w:cs="Arial"/>
          <w:lang w:val="en-US"/>
        </w:rPr>
        <w:t xml:space="preserve"> </w:t>
      </w:r>
    </w:p>
    <w:p w14:paraId="5CAEC3B1" w14:textId="77777777" w:rsidR="00316462" w:rsidRPr="00721C11" w:rsidRDefault="006C41E7" w:rsidP="00721C11">
      <w:pPr>
        <w:tabs>
          <w:tab w:val="left" w:pos="1134"/>
        </w:tabs>
        <w:spacing w:before="120" w:after="120"/>
        <w:ind w:left="1985"/>
        <w:jc w:val="both"/>
        <w:outlineLvl w:val="5"/>
        <w:rPr>
          <w:rFonts w:cs="Arial"/>
          <w:lang w:val="en-US"/>
        </w:rPr>
      </w:pPr>
      <w:r w:rsidRPr="00721C11">
        <w:rPr>
          <w:rFonts w:cs="Arial"/>
          <w:lang w:val="en-US"/>
        </w:rPr>
        <w:t>e</w:t>
      </w:r>
      <w:proofErr w:type="gramStart"/>
      <w:r w:rsidRPr="00721C11">
        <w:rPr>
          <w:rFonts w:cs="Arial"/>
          <w:lang w:val="en-US"/>
        </w:rPr>
        <w:t xml:space="preserve">) </w:t>
      </w:r>
      <w:r w:rsidR="0028019A" w:rsidRPr="00721C11">
        <w:rPr>
          <w:rFonts w:cs="Arial"/>
          <w:lang w:val="en-US"/>
        </w:rPr>
        <w:t xml:space="preserve"> </w:t>
      </w:r>
      <w:r w:rsidR="00B8230F" w:rsidRPr="00721C11">
        <w:rPr>
          <w:rFonts w:cs="Arial"/>
          <w:lang w:val="en-US"/>
        </w:rPr>
        <w:tab/>
      </w:r>
      <w:proofErr w:type="gramEnd"/>
      <w:r w:rsidR="00316462" w:rsidRPr="00721C11">
        <w:rPr>
          <w:rFonts w:cs="Arial"/>
          <w:lang w:val="en-US"/>
        </w:rPr>
        <w:t xml:space="preserve">Test and/or Leak Search Costs: Sub-limit of US$5,000,000.00 per occurrence and in the </w:t>
      </w:r>
      <w:proofErr w:type="gramStart"/>
      <w:r w:rsidR="00316462" w:rsidRPr="00721C11">
        <w:rPr>
          <w:rFonts w:cs="Arial"/>
          <w:lang w:val="en-US"/>
        </w:rPr>
        <w:t>aggregate;</w:t>
      </w:r>
      <w:proofErr w:type="gramEnd"/>
    </w:p>
    <w:p w14:paraId="379636D7" w14:textId="77777777" w:rsidR="00316462" w:rsidRPr="00721C11" w:rsidRDefault="006C41E7" w:rsidP="00721C11">
      <w:pPr>
        <w:tabs>
          <w:tab w:val="left" w:pos="1134"/>
        </w:tabs>
        <w:spacing w:before="120" w:after="120"/>
        <w:ind w:left="1985"/>
        <w:jc w:val="both"/>
        <w:outlineLvl w:val="5"/>
        <w:rPr>
          <w:rFonts w:cs="Arial"/>
          <w:lang w:val="en-US"/>
        </w:rPr>
      </w:pPr>
      <w:r w:rsidRPr="00721C11">
        <w:rPr>
          <w:rFonts w:cs="Arial"/>
          <w:lang w:val="en-US"/>
        </w:rPr>
        <w:t>f</w:t>
      </w:r>
      <w:proofErr w:type="gramStart"/>
      <w:r w:rsidRPr="00721C11">
        <w:rPr>
          <w:rFonts w:cs="Arial"/>
          <w:lang w:val="en-US"/>
        </w:rPr>
        <w:t>)</w:t>
      </w:r>
      <w:r w:rsidR="0028019A" w:rsidRPr="00721C11">
        <w:rPr>
          <w:rFonts w:cs="Arial"/>
          <w:lang w:val="en-US"/>
        </w:rPr>
        <w:t xml:space="preserve"> </w:t>
      </w:r>
      <w:r w:rsidR="00B8230F" w:rsidRPr="00721C11">
        <w:rPr>
          <w:rFonts w:cs="Arial"/>
          <w:lang w:val="en-US"/>
        </w:rPr>
        <w:tab/>
      </w:r>
      <w:r w:rsidR="00316462" w:rsidRPr="00721C11">
        <w:rPr>
          <w:rFonts w:cs="Arial"/>
          <w:lang w:val="en-US"/>
        </w:rPr>
        <w:t>Evacuation</w:t>
      </w:r>
      <w:proofErr w:type="gramEnd"/>
      <w:r w:rsidR="00316462" w:rsidRPr="00721C11">
        <w:rPr>
          <w:rFonts w:cs="Arial"/>
          <w:lang w:val="en-US"/>
        </w:rPr>
        <w:t xml:space="preserve"> Expenses: Sub-limit of US$5,000,000.00 per occurrence and in the aggregate.</w:t>
      </w:r>
    </w:p>
    <w:p w14:paraId="18C2B245" w14:textId="45C1B3DE" w:rsidR="00FF7DC7" w:rsidRPr="00721C11" w:rsidRDefault="00F5238F" w:rsidP="005629F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3.1.7.7.3</w:t>
      </w:r>
      <w:r w:rsidRPr="00721C11">
        <w:rPr>
          <w:rFonts w:cs="Arial"/>
          <w:lang w:val="en-US"/>
        </w:rPr>
        <w:tab/>
      </w:r>
      <w:r w:rsidRPr="000C097D">
        <w:rPr>
          <w:rFonts w:cs="Arial"/>
          <w:lang w:val="en-US"/>
        </w:rPr>
        <w:t xml:space="preserve">Sue and </w:t>
      </w:r>
      <w:proofErr w:type="spellStart"/>
      <w:r w:rsidRPr="000C097D">
        <w:rPr>
          <w:rFonts w:cs="Arial"/>
          <w:lang w:val="en-US"/>
        </w:rPr>
        <w:t>Labour</w:t>
      </w:r>
      <w:proofErr w:type="spellEnd"/>
      <w:r w:rsidRPr="000C097D">
        <w:rPr>
          <w:rFonts w:cs="Arial"/>
          <w:lang w:val="en-US"/>
        </w:rPr>
        <w:t xml:space="preserve">, Removal of Wreckage and Additional Works are included with an Additional Joint Limit of 25% of the scheduled value contained in the latest agreed </w:t>
      </w:r>
      <w:r w:rsidR="00394378">
        <w:rPr>
          <w:rFonts w:cs="Arial"/>
          <w:lang w:val="en-US"/>
        </w:rPr>
        <w:t>“</w:t>
      </w:r>
      <w:r w:rsidR="00B54DFB">
        <w:rPr>
          <w:rFonts w:cs="Arial"/>
          <w:lang w:val="en-US"/>
        </w:rPr>
        <w:t xml:space="preserve">CAR </w:t>
      </w:r>
      <w:r w:rsidR="00A27E86">
        <w:rPr>
          <w:rFonts w:cs="Arial"/>
          <w:lang w:val="en-US"/>
        </w:rPr>
        <w:t>s</w:t>
      </w:r>
      <w:r w:rsidR="00A27E86" w:rsidRPr="000C097D">
        <w:rPr>
          <w:rFonts w:cs="Arial"/>
          <w:lang w:val="en-US"/>
        </w:rPr>
        <w:t xml:space="preserve">chedule </w:t>
      </w:r>
      <w:r w:rsidR="00643C99" w:rsidRPr="000C097D">
        <w:rPr>
          <w:rFonts w:cs="Arial"/>
          <w:lang w:val="en-US"/>
        </w:rPr>
        <w:t>B</w:t>
      </w:r>
      <w:r w:rsidR="00394378">
        <w:rPr>
          <w:rFonts w:cs="Arial"/>
          <w:lang w:val="en-US"/>
        </w:rPr>
        <w:t>”</w:t>
      </w:r>
      <w:r w:rsidRPr="000C097D">
        <w:rPr>
          <w:rFonts w:cs="Arial"/>
          <w:lang w:val="en-US"/>
        </w:rPr>
        <w:t xml:space="preserve"> at time of loss of the item or items which are the subject to the additional coverage</w:t>
      </w:r>
      <w:r w:rsidR="00FF7DC7" w:rsidRPr="000C097D">
        <w:rPr>
          <w:rFonts w:cs="Arial"/>
          <w:lang w:val="en-US"/>
        </w:rPr>
        <w:t>:</w:t>
      </w:r>
    </w:p>
    <w:p w14:paraId="003DC495" w14:textId="092990EC" w:rsidR="00FF7DC7" w:rsidRPr="00721C11" w:rsidRDefault="00FF7DC7" w:rsidP="005629F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3.1.</w:t>
      </w:r>
      <w:r w:rsidR="00E375F8" w:rsidRPr="00721C11">
        <w:rPr>
          <w:rFonts w:cs="Arial"/>
          <w:lang w:val="en-US"/>
        </w:rPr>
        <w:t>7</w:t>
      </w:r>
      <w:r w:rsidRPr="00721C11">
        <w:rPr>
          <w:rFonts w:cs="Arial"/>
          <w:lang w:val="en-US"/>
        </w:rPr>
        <w:t>.7.3.1</w:t>
      </w:r>
      <w:r w:rsidRPr="00721C11">
        <w:rPr>
          <w:rFonts w:cs="Arial"/>
          <w:lang w:val="en-US"/>
        </w:rPr>
        <w:tab/>
      </w:r>
      <w:r w:rsidR="00643C99" w:rsidRPr="00721C11">
        <w:rPr>
          <w:rFonts w:cs="Arial"/>
          <w:lang w:val="en-US"/>
        </w:rPr>
        <w:t>Buyer</w:t>
      </w:r>
      <w:r w:rsidRPr="00721C11">
        <w:rPr>
          <w:rFonts w:cs="Arial"/>
          <w:lang w:val="en-US"/>
        </w:rPr>
        <w:t xml:space="preserve">, at its sole discretion, can authorize </w:t>
      </w:r>
      <w:r w:rsidR="00643C99" w:rsidRPr="00721C11">
        <w:rPr>
          <w:rFonts w:cs="Arial"/>
          <w:lang w:val="en-US"/>
        </w:rPr>
        <w:t xml:space="preserve">Seller </w:t>
      </w:r>
      <w:r w:rsidRPr="00721C11">
        <w:rPr>
          <w:rFonts w:cs="Arial"/>
          <w:lang w:val="en-US"/>
        </w:rPr>
        <w:t xml:space="preserve">to incur </w:t>
      </w:r>
      <w:r w:rsidR="00643C99" w:rsidRPr="00721C11">
        <w:rPr>
          <w:rFonts w:cs="Arial"/>
          <w:lang w:val="en-US"/>
        </w:rPr>
        <w:t xml:space="preserve">cost that exceed </w:t>
      </w:r>
      <w:r w:rsidR="002B7942">
        <w:rPr>
          <w:rFonts w:cs="Arial"/>
          <w:lang w:val="en-US"/>
        </w:rPr>
        <w:t>t</w:t>
      </w:r>
      <w:r w:rsidRPr="00721C11">
        <w:rPr>
          <w:rFonts w:cs="Arial"/>
          <w:lang w:val="en-US"/>
        </w:rPr>
        <w:t xml:space="preserve">he limits </w:t>
      </w:r>
      <w:r w:rsidR="00643C99" w:rsidRPr="00721C11">
        <w:rPr>
          <w:rFonts w:cs="Arial"/>
          <w:lang w:val="en-US"/>
        </w:rPr>
        <w:t>specified</w:t>
      </w:r>
      <w:r w:rsidRPr="00721C11">
        <w:rPr>
          <w:rFonts w:cs="Arial"/>
          <w:lang w:val="en-US"/>
        </w:rPr>
        <w:t xml:space="preserve"> in item 3.1.7.7.3 </w:t>
      </w:r>
      <w:proofErr w:type="gramStart"/>
      <w:r w:rsidRPr="00721C11">
        <w:rPr>
          <w:rFonts w:cs="Arial"/>
          <w:lang w:val="en-US"/>
        </w:rPr>
        <w:t>above;</w:t>
      </w:r>
      <w:proofErr w:type="gramEnd"/>
    </w:p>
    <w:p w14:paraId="5CAB2E7E" w14:textId="331E1D8C" w:rsidR="00FF7DC7" w:rsidRPr="00721C11" w:rsidRDefault="00FF7DC7" w:rsidP="005629F3">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3.1.</w:t>
      </w:r>
      <w:r w:rsidR="00E375F8" w:rsidRPr="00721C11">
        <w:rPr>
          <w:rFonts w:cs="Arial"/>
          <w:lang w:val="en-US"/>
        </w:rPr>
        <w:t>7</w:t>
      </w:r>
      <w:r w:rsidRPr="00721C11">
        <w:rPr>
          <w:rFonts w:cs="Arial"/>
          <w:lang w:val="en-US"/>
        </w:rPr>
        <w:t>.7.3.2</w:t>
      </w:r>
      <w:r w:rsidRPr="00721C11">
        <w:rPr>
          <w:rFonts w:cs="Arial"/>
          <w:lang w:val="en-US"/>
        </w:rPr>
        <w:tab/>
        <w:t xml:space="preserve">In </w:t>
      </w:r>
      <w:r w:rsidR="00643C99" w:rsidRPr="00721C11">
        <w:rPr>
          <w:rFonts w:cs="Arial"/>
          <w:lang w:val="en-US"/>
        </w:rPr>
        <w:t xml:space="preserve">such </w:t>
      </w:r>
      <w:r w:rsidRPr="00721C11">
        <w:rPr>
          <w:rFonts w:cs="Arial"/>
          <w:lang w:val="en-US"/>
        </w:rPr>
        <w:t xml:space="preserve">case, such additional costs shall be considered as “Change Orders” to be paid through </w:t>
      </w:r>
      <w:r w:rsidR="00643C99" w:rsidRPr="00721C11">
        <w:rPr>
          <w:rFonts w:cs="Arial"/>
          <w:lang w:val="en-US"/>
        </w:rPr>
        <w:t xml:space="preserve">an </w:t>
      </w:r>
      <w:r w:rsidRPr="00721C11">
        <w:rPr>
          <w:rFonts w:cs="Arial"/>
          <w:lang w:val="en-US"/>
        </w:rPr>
        <w:t xml:space="preserve">Amendment to the </w:t>
      </w:r>
      <w:r w:rsidR="00D069ED">
        <w:rPr>
          <w:rFonts w:cs="Arial"/>
          <w:lang w:val="en-US"/>
        </w:rPr>
        <w:t>Agreement</w:t>
      </w:r>
      <w:r w:rsidRPr="00721C11">
        <w:rPr>
          <w:rFonts w:cs="Arial"/>
          <w:lang w:val="en-US"/>
        </w:rPr>
        <w:t>.</w:t>
      </w:r>
      <w:r w:rsidR="00D20472" w:rsidRPr="00EF0AD6">
        <w:rPr>
          <w:rFonts w:cs="Arial"/>
          <w:lang w:val="en-US"/>
        </w:rPr>
        <w:t xml:space="preserve">  </w:t>
      </w:r>
    </w:p>
    <w:p w14:paraId="2E23719E" w14:textId="77777777" w:rsidR="00316462" w:rsidRPr="00721C11" w:rsidRDefault="00316462" w:rsidP="00EF0AD6">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3.1.</w:t>
      </w:r>
      <w:r w:rsidR="00C87A7B" w:rsidRPr="00721C11">
        <w:rPr>
          <w:rFonts w:cs="Arial"/>
          <w:lang w:val="en-US"/>
        </w:rPr>
        <w:t>7</w:t>
      </w:r>
      <w:r w:rsidRPr="00721C11">
        <w:rPr>
          <w:rFonts w:cs="Arial"/>
          <w:lang w:val="en-US"/>
        </w:rPr>
        <w:t>.7.</w:t>
      </w:r>
      <w:r w:rsidR="00C87A7B" w:rsidRPr="00721C11">
        <w:rPr>
          <w:rFonts w:cs="Arial"/>
          <w:lang w:val="en-US"/>
        </w:rPr>
        <w:t>4</w:t>
      </w:r>
      <w:r w:rsidRPr="00721C11">
        <w:rPr>
          <w:rFonts w:cs="Arial"/>
          <w:lang w:val="en-US"/>
        </w:rPr>
        <w:tab/>
        <w:t xml:space="preserve">Specific Conditions of </w:t>
      </w:r>
      <w:r w:rsidR="00643C99" w:rsidRPr="00721C11">
        <w:rPr>
          <w:rFonts w:cs="Arial"/>
          <w:lang w:val="en-US"/>
        </w:rPr>
        <w:t xml:space="preserve">Buyer </w:t>
      </w:r>
      <w:r w:rsidRPr="00721C11">
        <w:rPr>
          <w:rFonts w:cs="Arial"/>
          <w:lang w:val="en-US"/>
        </w:rPr>
        <w:t>policy</w:t>
      </w:r>
    </w:p>
    <w:p w14:paraId="20CA7418" w14:textId="77777777" w:rsidR="00316462" w:rsidRPr="00721C11" w:rsidRDefault="00316462" w:rsidP="00EF0AD6">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3.7.</w:t>
      </w:r>
      <w:r w:rsidR="00C87A7B" w:rsidRPr="00721C11">
        <w:rPr>
          <w:rFonts w:cs="Arial"/>
          <w:lang w:val="en-US"/>
        </w:rPr>
        <w:t>7</w:t>
      </w:r>
      <w:r w:rsidRPr="00721C11">
        <w:rPr>
          <w:rFonts w:cs="Arial"/>
          <w:lang w:val="en-US"/>
        </w:rPr>
        <w:t>.7.</w:t>
      </w:r>
      <w:r w:rsidR="00C87A7B" w:rsidRPr="00721C11">
        <w:rPr>
          <w:rFonts w:cs="Arial"/>
          <w:lang w:val="en-US"/>
        </w:rPr>
        <w:t>4</w:t>
      </w:r>
      <w:r w:rsidRPr="00721C11">
        <w:rPr>
          <w:rFonts w:cs="Arial"/>
          <w:lang w:val="en-US"/>
        </w:rPr>
        <w:t>.1</w:t>
      </w:r>
      <w:r w:rsidR="0028019A" w:rsidRPr="00721C11">
        <w:rPr>
          <w:rFonts w:cs="Arial"/>
          <w:lang w:val="en-US"/>
        </w:rPr>
        <w:t xml:space="preserve"> </w:t>
      </w:r>
      <w:r w:rsidR="00AA00D7" w:rsidRPr="00721C11">
        <w:rPr>
          <w:rFonts w:cs="Arial"/>
          <w:lang w:val="en-US"/>
        </w:rPr>
        <w:tab/>
      </w:r>
      <w:r w:rsidRPr="00721C11">
        <w:rPr>
          <w:rFonts w:cs="Arial"/>
          <w:lang w:val="en-US"/>
        </w:rPr>
        <w:t>The following conditions shall apply:</w:t>
      </w:r>
    </w:p>
    <w:p w14:paraId="11D49151" w14:textId="77777777" w:rsidR="00316462" w:rsidRPr="00721C11" w:rsidRDefault="006C41E7" w:rsidP="00EF0AD6">
      <w:pPr>
        <w:tabs>
          <w:tab w:val="left" w:pos="1134"/>
        </w:tabs>
        <w:spacing w:before="120" w:after="120"/>
        <w:ind w:left="2127"/>
        <w:jc w:val="both"/>
        <w:outlineLvl w:val="5"/>
        <w:rPr>
          <w:rFonts w:cs="Arial"/>
        </w:rPr>
      </w:pPr>
      <w:r w:rsidRPr="00721C11">
        <w:rPr>
          <w:rFonts w:cs="Arial"/>
        </w:rPr>
        <w:lastRenderedPageBreak/>
        <w:t>a)</w:t>
      </w:r>
      <w:r w:rsidR="00AA00D7" w:rsidRPr="00721C11">
        <w:rPr>
          <w:rFonts w:cs="Arial"/>
        </w:rPr>
        <w:tab/>
      </w:r>
      <w:r w:rsidR="00316462" w:rsidRPr="00721C11">
        <w:rPr>
          <w:rFonts w:cs="Arial"/>
        </w:rPr>
        <w:t xml:space="preserve">Condições Gerais Brasileiras da Apólice de Cascos Marítimos (Circular SUSEP </w:t>
      </w:r>
      <w:r w:rsidR="00316275" w:rsidRPr="00721C11">
        <w:rPr>
          <w:rFonts w:cs="Arial"/>
        </w:rPr>
        <w:t>205/99</w:t>
      </w:r>
      <w:r w:rsidR="00316462" w:rsidRPr="00721C11">
        <w:rPr>
          <w:rFonts w:cs="Arial"/>
        </w:rPr>
        <w:t xml:space="preserve">), as per </w:t>
      </w:r>
      <w:proofErr w:type="spellStart"/>
      <w:r w:rsidR="00316462" w:rsidRPr="00721C11">
        <w:rPr>
          <w:rFonts w:cs="Arial"/>
        </w:rPr>
        <w:t>wording</w:t>
      </w:r>
      <w:proofErr w:type="spellEnd"/>
      <w:r w:rsidR="00316462" w:rsidRPr="00721C11">
        <w:rPr>
          <w:rFonts w:cs="Arial"/>
        </w:rPr>
        <w:t xml:space="preserve">; </w:t>
      </w:r>
    </w:p>
    <w:p w14:paraId="22D786AD" w14:textId="77777777" w:rsidR="00316462" w:rsidRPr="00721C11" w:rsidRDefault="002E561B" w:rsidP="00EF0AD6">
      <w:pPr>
        <w:tabs>
          <w:tab w:val="left" w:pos="1134"/>
        </w:tabs>
        <w:spacing w:before="120" w:after="120"/>
        <w:ind w:left="2127"/>
        <w:jc w:val="both"/>
        <w:outlineLvl w:val="5"/>
        <w:rPr>
          <w:rFonts w:cs="Arial"/>
          <w:lang w:val="en-US"/>
        </w:rPr>
      </w:pPr>
      <w:r w:rsidRPr="00721C11">
        <w:rPr>
          <w:rFonts w:cs="Arial"/>
          <w:lang w:val="en-US"/>
        </w:rPr>
        <w:t>b</w:t>
      </w:r>
      <w:proofErr w:type="gramStart"/>
      <w:r w:rsidRPr="00721C11">
        <w:rPr>
          <w:rFonts w:cs="Arial"/>
          <w:lang w:val="en-US"/>
        </w:rPr>
        <w:t>)</w:t>
      </w:r>
      <w:r w:rsidR="00AA00D7" w:rsidRPr="00721C11">
        <w:rPr>
          <w:rFonts w:cs="Arial"/>
          <w:lang w:val="en-US"/>
        </w:rPr>
        <w:tab/>
      </w:r>
      <w:r w:rsidR="0028019A" w:rsidRPr="00721C11">
        <w:rPr>
          <w:rFonts w:cs="Arial"/>
          <w:lang w:val="en-US"/>
        </w:rPr>
        <w:t xml:space="preserve"> </w:t>
      </w:r>
      <w:r w:rsidR="00643C99" w:rsidRPr="00721C11">
        <w:rPr>
          <w:rFonts w:cs="Arial"/>
          <w:lang w:val="en-US"/>
        </w:rPr>
        <w:t>Incorporating</w:t>
      </w:r>
      <w:proofErr w:type="gramEnd"/>
      <w:r w:rsidR="00643C99" w:rsidRPr="00721C11">
        <w:rPr>
          <w:rFonts w:cs="Arial"/>
          <w:lang w:val="en-US"/>
        </w:rPr>
        <w:t xml:space="preserve"> </w:t>
      </w:r>
      <w:r w:rsidR="00316462" w:rsidRPr="00721C11">
        <w:rPr>
          <w:rFonts w:cs="Arial"/>
          <w:lang w:val="en-US"/>
        </w:rPr>
        <w:t xml:space="preserve">Radioactive Contamination, Chemical, Biological, Bio-Chemical and Electromagnetic Weapons Exclusion Clause (10/11/03 Cl. 370), as per </w:t>
      </w:r>
      <w:proofErr w:type="gramStart"/>
      <w:r w:rsidR="00316462" w:rsidRPr="00721C11">
        <w:rPr>
          <w:rFonts w:cs="Arial"/>
          <w:lang w:val="en-US"/>
        </w:rPr>
        <w:t>clause;</w:t>
      </w:r>
      <w:proofErr w:type="gramEnd"/>
    </w:p>
    <w:p w14:paraId="415661CE" w14:textId="77777777" w:rsidR="00316462" w:rsidRPr="00721C11" w:rsidRDefault="002E561B" w:rsidP="00EF0AD6">
      <w:pPr>
        <w:tabs>
          <w:tab w:val="left" w:pos="1134"/>
        </w:tabs>
        <w:spacing w:before="120" w:after="120"/>
        <w:ind w:left="2127"/>
        <w:jc w:val="both"/>
        <w:outlineLvl w:val="5"/>
        <w:rPr>
          <w:rFonts w:cs="Arial"/>
          <w:lang w:val="en-US"/>
        </w:rPr>
      </w:pPr>
      <w:r w:rsidRPr="00721C11">
        <w:rPr>
          <w:rFonts w:cs="Arial"/>
          <w:lang w:val="en-US"/>
        </w:rPr>
        <w:t>c</w:t>
      </w:r>
      <w:proofErr w:type="gramStart"/>
      <w:r w:rsidRPr="00721C11">
        <w:rPr>
          <w:rFonts w:cs="Arial"/>
          <w:lang w:val="en-US"/>
        </w:rPr>
        <w:t>)</w:t>
      </w:r>
      <w:r w:rsidR="0028019A" w:rsidRPr="00721C11">
        <w:rPr>
          <w:rFonts w:cs="Arial"/>
          <w:lang w:val="en-US"/>
        </w:rPr>
        <w:t xml:space="preserve"> </w:t>
      </w:r>
      <w:r w:rsidR="00AA00D7" w:rsidRPr="00721C11">
        <w:rPr>
          <w:rFonts w:cs="Arial"/>
          <w:lang w:val="en-US"/>
        </w:rPr>
        <w:tab/>
      </w:r>
      <w:r w:rsidR="00316462" w:rsidRPr="00721C11">
        <w:rPr>
          <w:rFonts w:cs="Arial"/>
          <w:lang w:val="en-US"/>
        </w:rPr>
        <w:t>In</w:t>
      </w:r>
      <w:r w:rsidR="00643C99" w:rsidRPr="00721C11">
        <w:rPr>
          <w:rFonts w:cs="Arial"/>
          <w:lang w:val="en-US"/>
        </w:rPr>
        <w:t>corporating</w:t>
      </w:r>
      <w:proofErr w:type="gramEnd"/>
      <w:r w:rsidR="00643C99" w:rsidRPr="00721C11">
        <w:rPr>
          <w:rFonts w:cs="Arial"/>
          <w:lang w:val="en-US"/>
        </w:rPr>
        <w:t xml:space="preserve"> </w:t>
      </w:r>
      <w:r w:rsidR="00316462" w:rsidRPr="00721C11">
        <w:rPr>
          <w:rFonts w:cs="Arial"/>
          <w:lang w:val="en-US"/>
        </w:rPr>
        <w:t xml:space="preserve">Cyber Attack Exclusion Clause (10/11/03 Cl. 380), as per </w:t>
      </w:r>
      <w:proofErr w:type="gramStart"/>
      <w:r w:rsidR="00316462" w:rsidRPr="00721C11">
        <w:rPr>
          <w:rFonts w:cs="Arial"/>
          <w:lang w:val="en-US"/>
        </w:rPr>
        <w:t>clause;</w:t>
      </w:r>
      <w:proofErr w:type="gramEnd"/>
    </w:p>
    <w:p w14:paraId="29F2F633" w14:textId="77777777" w:rsidR="00316462" w:rsidRPr="00721C11" w:rsidRDefault="002E561B" w:rsidP="00EF0AD6">
      <w:pPr>
        <w:tabs>
          <w:tab w:val="left" w:pos="1134"/>
        </w:tabs>
        <w:spacing w:before="120" w:after="120"/>
        <w:ind w:left="2127"/>
        <w:jc w:val="both"/>
        <w:outlineLvl w:val="5"/>
        <w:rPr>
          <w:rFonts w:cs="Arial"/>
          <w:lang w:val="en-US"/>
        </w:rPr>
      </w:pPr>
      <w:r w:rsidRPr="00721C11">
        <w:rPr>
          <w:rFonts w:cs="Arial"/>
          <w:lang w:val="en-US"/>
        </w:rPr>
        <w:t>d)</w:t>
      </w:r>
      <w:r w:rsidR="0028019A" w:rsidRPr="00721C11">
        <w:rPr>
          <w:rFonts w:cs="Arial"/>
          <w:lang w:val="en-US"/>
        </w:rPr>
        <w:t xml:space="preserve"> </w:t>
      </w:r>
      <w:r w:rsidR="00AA00D7" w:rsidRPr="00721C11">
        <w:rPr>
          <w:rFonts w:cs="Arial"/>
          <w:lang w:val="en-US"/>
        </w:rPr>
        <w:tab/>
      </w:r>
      <w:r w:rsidR="00316462" w:rsidRPr="00721C11">
        <w:rPr>
          <w:rFonts w:cs="Arial"/>
          <w:lang w:val="en-US"/>
        </w:rPr>
        <w:t xml:space="preserve">General Rules for Reinsurance and Retrocession – Exclusion Clause – Interpretation of Dates by Electronic Equipment – CIRC. PRESI – 02/98 – Geral -011/98, dated Sep 1, 1988, as per </w:t>
      </w:r>
      <w:proofErr w:type="gramStart"/>
      <w:r w:rsidR="00316462" w:rsidRPr="00721C11">
        <w:rPr>
          <w:rFonts w:cs="Arial"/>
          <w:lang w:val="en-US"/>
        </w:rPr>
        <w:t>clause;</w:t>
      </w:r>
      <w:proofErr w:type="gramEnd"/>
    </w:p>
    <w:p w14:paraId="68DBDE9D" w14:textId="77777777" w:rsidR="00316462" w:rsidRPr="00721C11" w:rsidRDefault="002E561B" w:rsidP="00EF0AD6">
      <w:pPr>
        <w:tabs>
          <w:tab w:val="left" w:pos="1134"/>
        </w:tabs>
        <w:spacing w:before="120" w:after="120"/>
        <w:ind w:left="2127"/>
        <w:jc w:val="both"/>
        <w:outlineLvl w:val="5"/>
        <w:rPr>
          <w:rFonts w:cs="Arial"/>
          <w:lang w:val="en-US"/>
        </w:rPr>
      </w:pPr>
      <w:r w:rsidRPr="00721C11">
        <w:rPr>
          <w:rFonts w:cs="Arial"/>
          <w:lang w:val="en-US"/>
        </w:rPr>
        <w:t>e)</w:t>
      </w:r>
      <w:r w:rsidR="0028019A" w:rsidRPr="00721C11">
        <w:rPr>
          <w:rFonts w:cs="Arial"/>
          <w:lang w:val="en-US"/>
        </w:rPr>
        <w:t xml:space="preserve"> </w:t>
      </w:r>
      <w:r w:rsidR="00AA00D7" w:rsidRPr="00721C11">
        <w:rPr>
          <w:rFonts w:cs="Arial"/>
          <w:lang w:val="en-US"/>
        </w:rPr>
        <w:tab/>
      </w:r>
      <w:r w:rsidR="00316462" w:rsidRPr="00721C11">
        <w:rPr>
          <w:rFonts w:cs="Arial"/>
          <w:lang w:val="en-US"/>
        </w:rPr>
        <w:t xml:space="preserve">Brazilian Law and </w:t>
      </w:r>
      <w:proofErr w:type="gramStart"/>
      <w:r w:rsidR="00316462" w:rsidRPr="00721C11">
        <w:rPr>
          <w:rFonts w:cs="Arial"/>
          <w:lang w:val="en-US"/>
        </w:rPr>
        <w:t>Jurisdiction;</w:t>
      </w:r>
      <w:proofErr w:type="gramEnd"/>
    </w:p>
    <w:p w14:paraId="55F80FF1" w14:textId="77777777" w:rsidR="00316462" w:rsidRPr="00721C11" w:rsidRDefault="002E561B" w:rsidP="00EF0AD6">
      <w:pPr>
        <w:tabs>
          <w:tab w:val="left" w:pos="1134"/>
        </w:tabs>
        <w:spacing w:before="120" w:after="120"/>
        <w:ind w:left="2127"/>
        <w:jc w:val="both"/>
        <w:outlineLvl w:val="5"/>
        <w:rPr>
          <w:rFonts w:cs="Arial"/>
          <w:lang w:val="en-US"/>
        </w:rPr>
      </w:pPr>
      <w:r w:rsidRPr="00721C11">
        <w:rPr>
          <w:rFonts w:cs="Arial"/>
          <w:lang w:val="en-US"/>
        </w:rPr>
        <w:t>f</w:t>
      </w:r>
      <w:proofErr w:type="gramStart"/>
      <w:r w:rsidRPr="00721C11">
        <w:rPr>
          <w:rFonts w:cs="Arial"/>
          <w:lang w:val="en-US"/>
        </w:rPr>
        <w:t>)</w:t>
      </w:r>
      <w:r w:rsidR="0028019A" w:rsidRPr="00721C11">
        <w:rPr>
          <w:rFonts w:cs="Arial"/>
          <w:lang w:val="en-US"/>
        </w:rPr>
        <w:t xml:space="preserve"> </w:t>
      </w:r>
      <w:r w:rsidR="00AA00D7" w:rsidRPr="00721C11">
        <w:rPr>
          <w:rFonts w:cs="Arial"/>
          <w:lang w:val="en-US"/>
        </w:rPr>
        <w:tab/>
      </w:r>
      <w:r w:rsidR="00316462" w:rsidRPr="00721C11">
        <w:rPr>
          <w:rFonts w:cs="Arial"/>
          <w:lang w:val="en-US"/>
        </w:rPr>
        <w:t>Excluding</w:t>
      </w:r>
      <w:proofErr w:type="gramEnd"/>
      <w:r w:rsidR="00316462" w:rsidRPr="00721C11">
        <w:rPr>
          <w:rFonts w:cs="Arial"/>
          <w:lang w:val="en-US"/>
        </w:rPr>
        <w:t xml:space="preserve"> Sabotage, Terrorism, Expropriation, Nationalization, Deprivation and </w:t>
      </w:r>
      <w:proofErr w:type="gramStart"/>
      <w:r w:rsidR="00316462" w:rsidRPr="00721C11">
        <w:rPr>
          <w:rFonts w:cs="Arial"/>
          <w:lang w:val="en-US"/>
        </w:rPr>
        <w:t>Confiscation;</w:t>
      </w:r>
      <w:proofErr w:type="gramEnd"/>
    </w:p>
    <w:p w14:paraId="28886166" w14:textId="77777777" w:rsidR="00316462" w:rsidRPr="00721C11" w:rsidRDefault="002E561B" w:rsidP="00EF0AD6">
      <w:pPr>
        <w:tabs>
          <w:tab w:val="left" w:pos="1134"/>
        </w:tabs>
        <w:spacing w:before="120" w:after="120"/>
        <w:ind w:left="2127"/>
        <w:jc w:val="both"/>
        <w:outlineLvl w:val="5"/>
        <w:rPr>
          <w:rFonts w:cs="Arial"/>
          <w:lang w:val="en-US"/>
        </w:rPr>
      </w:pPr>
      <w:r w:rsidRPr="00721C11">
        <w:rPr>
          <w:rFonts w:cs="Arial"/>
          <w:lang w:val="en-US"/>
        </w:rPr>
        <w:t>g</w:t>
      </w:r>
      <w:proofErr w:type="gramStart"/>
      <w:r w:rsidRPr="00721C11">
        <w:rPr>
          <w:rFonts w:cs="Arial"/>
          <w:lang w:val="en-US"/>
        </w:rPr>
        <w:t>)</w:t>
      </w:r>
      <w:r w:rsidR="0028019A" w:rsidRPr="00721C11">
        <w:rPr>
          <w:rFonts w:cs="Arial"/>
          <w:lang w:val="en-US"/>
        </w:rPr>
        <w:t xml:space="preserve"> </w:t>
      </w:r>
      <w:r w:rsidR="00AA00D7" w:rsidRPr="00721C11">
        <w:rPr>
          <w:rFonts w:cs="Arial"/>
          <w:lang w:val="en-US"/>
        </w:rPr>
        <w:tab/>
      </w:r>
      <w:r w:rsidR="00316462" w:rsidRPr="00721C11">
        <w:rPr>
          <w:rFonts w:cs="Arial"/>
          <w:lang w:val="en-US"/>
        </w:rPr>
        <w:t>Terrorism</w:t>
      </w:r>
      <w:proofErr w:type="gramEnd"/>
      <w:r w:rsidR="00316462" w:rsidRPr="00721C11">
        <w:rPr>
          <w:rFonts w:cs="Arial"/>
          <w:lang w:val="en-US"/>
        </w:rPr>
        <w:t xml:space="preserve"> Acts Exclusion Additional Clause, as per </w:t>
      </w:r>
      <w:proofErr w:type="gramStart"/>
      <w:r w:rsidR="00316462" w:rsidRPr="00721C11">
        <w:rPr>
          <w:rFonts w:cs="Arial"/>
          <w:lang w:val="en-US"/>
        </w:rPr>
        <w:t>wording;</w:t>
      </w:r>
      <w:proofErr w:type="gramEnd"/>
    </w:p>
    <w:p w14:paraId="130D5F86" w14:textId="77777777" w:rsidR="00316462" w:rsidRPr="00721C11" w:rsidRDefault="002E561B" w:rsidP="00EF0AD6">
      <w:pPr>
        <w:tabs>
          <w:tab w:val="left" w:pos="1134"/>
        </w:tabs>
        <w:spacing w:before="120" w:after="120"/>
        <w:ind w:left="2127"/>
        <w:jc w:val="both"/>
        <w:outlineLvl w:val="5"/>
        <w:rPr>
          <w:rFonts w:cs="Arial"/>
          <w:lang w:val="en-US"/>
        </w:rPr>
      </w:pPr>
      <w:r w:rsidRPr="00721C11">
        <w:rPr>
          <w:rFonts w:cs="Arial"/>
          <w:lang w:val="en-US"/>
        </w:rPr>
        <w:t>h</w:t>
      </w:r>
      <w:proofErr w:type="gramStart"/>
      <w:r w:rsidRPr="00721C11">
        <w:rPr>
          <w:rFonts w:cs="Arial"/>
          <w:lang w:val="en-US"/>
        </w:rPr>
        <w:t>)</w:t>
      </w:r>
      <w:r w:rsidR="0028019A" w:rsidRPr="00721C11">
        <w:rPr>
          <w:rFonts w:cs="Arial"/>
          <w:lang w:val="en-US"/>
        </w:rPr>
        <w:t xml:space="preserve"> </w:t>
      </w:r>
      <w:r w:rsidR="00AA00D7" w:rsidRPr="00721C11">
        <w:rPr>
          <w:rFonts w:cs="Arial"/>
          <w:lang w:val="en-US"/>
        </w:rPr>
        <w:tab/>
      </w:r>
      <w:r w:rsidR="00316462" w:rsidRPr="00721C11">
        <w:rPr>
          <w:rFonts w:cs="Arial"/>
          <w:lang w:val="en-US"/>
        </w:rPr>
        <w:t>Excluding</w:t>
      </w:r>
      <w:proofErr w:type="gramEnd"/>
      <w:r w:rsidR="00316462" w:rsidRPr="00721C11">
        <w:rPr>
          <w:rFonts w:cs="Arial"/>
          <w:lang w:val="en-US"/>
        </w:rPr>
        <w:t xml:space="preserve"> War and Strikes </w:t>
      </w:r>
      <w:proofErr w:type="gramStart"/>
      <w:r w:rsidR="00316462" w:rsidRPr="00721C11">
        <w:rPr>
          <w:rFonts w:cs="Arial"/>
          <w:lang w:val="en-US"/>
        </w:rPr>
        <w:t>Risks;</w:t>
      </w:r>
      <w:proofErr w:type="gramEnd"/>
    </w:p>
    <w:p w14:paraId="03164684" w14:textId="77777777" w:rsidR="00316462" w:rsidRPr="00721C11" w:rsidRDefault="002E561B" w:rsidP="00EF0AD6">
      <w:pPr>
        <w:tabs>
          <w:tab w:val="left" w:pos="1134"/>
        </w:tabs>
        <w:spacing w:before="120" w:after="120"/>
        <w:ind w:left="2127"/>
        <w:jc w:val="both"/>
        <w:outlineLvl w:val="5"/>
        <w:rPr>
          <w:rFonts w:cs="Arial"/>
          <w:lang w:val="en-US"/>
        </w:rPr>
      </w:pPr>
      <w:proofErr w:type="spellStart"/>
      <w:r w:rsidRPr="00721C11">
        <w:rPr>
          <w:rFonts w:cs="Arial"/>
          <w:lang w:val="en-US"/>
        </w:rPr>
        <w:t>i</w:t>
      </w:r>
      <w:proofErr w:type="spellEnd"/>
      <w:proofErr w:type="gramStart"/>
      <w:r w:rsidRPr="00721C11">
        <w:rPr>
          <w:rFonts w:cs="Arial"/>
          <w:lang w:val="en-US"/>
        </w:rPr>
        <w:t>)</w:t>
      </w:r>
      <w:r w:rsidR="0028019A" w:rsidRPr="00721C11">
        <w:rPr>
          <w:rFonts w:cs="Arial"/>
          <w:lang w:val="en-US"/>
        </w:rPr>
        <w:t xml:space="preserve"> </w:t>
      </w:r>
      <w:r w:rsidR="00AA00D7" w:rsidRPr="00721C11">
        <w:rPr>
          <w:rFonts w:cs="Arial"/>
          <w:lang w:val="en-US"/>
        </w:rPr>
        <w:tab/>
      </w:r>
      <w:r w:rsidR="00316462" w:rsidRPr="00721C11">
        <w:rPr>
          <w:rFonts w:cs="Arial"/>
          <w:lang w:val="en-US"/>
        </w:rPr>
        <w:t>Exclu</w:t>
      </w:r>
      <w:r w:rsidR="00643C99" w:rsidRPr="00721C11">
        <w:rPr>
          <w:rFonts w:cs="Arial"/>
          <w:lang w:val="en-US"/>
        </w:rPr>
        <w:t>ding</w:t>
      </w:r>
      <w:proofErr w:type="gramEnd"/>
      <w:r w:rsidR="00316462" w:rsidRPr="00721C11">
        <w:rPr>
          <w:rFonts w:cs="Arial"/>
          <w:lang w:val="en-US"/>
        </w:rPr>
        <w:t xml:space="preserve"> Political, Credit and Financial Guarantee Risks Additional </w:t>
      </w:r>
      <w:proofErr w:type="gramStart"/>
      <w:r w:rsidR="00316462" w:rsidRPr="00721C11">
        <w:rPr>
          <w:rFonts w:cs="Arial"/>
          <w:lang w:val="en-US"/>
        </w:rPr>
        <w:t>Clause;</w:t>
      </w:r>
      <w:proofErr w:type="gramEnd"/>
    </w:p>
    <w:p w14:paraId="089BD73A" w14:textId="77777777" w:rsidR="00316462" w:rsidRPr="00721C11" w:rsidRDefault="005A77AE" w:rsidP="00EF0AD6">
      <w:pPr>
        <w:tabs>
          <w:tab w:val="left" w:pos="1134"/>
        </w:tabs>
        <w:spacing w:before="120" w:after="120"/>
        <w:ind w:left="2127"/>
        <w:jc w:val="both"/>
        <w:outlineLvl w:val="5"/>
        <w:rPr>
          <w:rFonts w:cs="Arial"/>
          <w:lang w:val="en-US"/>
        </w:rPr>
      </w:pPr>
      <w:r w:rsidRPr="00721C11">
        <w:rPr>
          <w:rFonts w:cs="Arial"/>
          <w:lang w:val="en-US"/>
        </w:rPr>
        <w:t>j</w:t>
      </w:r>
      <w:proofErr w:type="gramStart"/>
      <w:r w:rsidRPr="00721C11">
        <w:rPr>
          <w:rFonts w:cs="Arial"/>
          <w:lang w:val="en-US"/>
        </w:rPr>
        <w:t xml:space="preserve">) </w:t>
      </w:r>
      <w:r w:rsidR="00AA00D7" w:rsidRPr="00721C11">
        <w:rPr>
          <w:rFonts w:cs="Arial"/>
          <w:lang w:val="en-US"/>
        </w:rPr>
        <w:tab/>
      </w:r>
      <w:r w:rsidR="00316462" w:rsidRPr="00721C11">
        <w:rPr>
          <w:rFonts w:cs="Arial"/>
          <w:lang w:val="en-US"/>
        </w:rPr>
        <w:t>Excluding</w:t>
      </w:r>
      <w:proofErr w:type="gramEnd"/>
      <w:r w:rsidR="00316462" w:rsidRPr="00721C11">
        <w:rPr>
          <w:rFonts w:cs="Arial"/>
          <w:lang w:val="en-US"/>
        </w:rPr>
        <w:t xml:space="preserve"> Business Interruption and Loss of Hire or Loss of </w:t>
      </w:r>
      <w:proofErr w:type="gramStart"/>
      <w:r w:rsidR="00316462" w:rsidRPr="00721C11">
        <w:rPr>
          <w:rFonts w:cs="Arial"/>
          <w:lang w:val="en-US"/>
        </w:rPr>
        <w:t>Rent;</w:t>
      </w:r>
      <w:proofErr w:type="gramEnd"/>
    </w:p>
    <w:p w14:paraId="5D9C720F" w14:textId="77777777" w:rsidR="007F5902" w:rsidRPr="00721C11" w:rsidRDefault="005A77AE" w:rsidP="00EF0AD6">
      <w:pPr>
        <w:tabs>
          <w:tab w:val="left" w:pos="1134"/>
        </w:tabs>
        <w:spacing w:before="120" w:after="120"/>
        <w:ind w:left="2127"/>
        <w:jc w:val="both"/>
        <w:outlineLvl w:val="5"/>
        <w:rPr>
          <w:rFonts w:cs="Arial"/>
          <w:lang w:val="en-US"/>
        </w:rPr>
      </w:pPr>
      <w:r w:rsidRPr="00721C11">
        <w:rPr>
          <w:rFonts w:cs="Arial"/>
          <w:lang w:val="en-US"/>
        </w:rPr>
        <w:t xml:space="preserve">k) </w:t>
      </w:r>
      <w:r w:rsidR="00AA00D7" w:rsidRPr="00721C11">
        <w:rPr>
          <w:rFonts w:cs="Arial"/>
          <w:lang w:val="en-US"/>
        </w:rPr>
        <w:tab/>
      </w:r>
      <w:r w:rsidRPr="00721C11">
        <w:rPr>
          <w:rFonts w:cs="Arial"/>
          <w:lang w:val="en-US"/>
        </w:rPr>
        <w:t>Clause 16 – Terroris</w:t>
      </w:r>
      <w:r w:rsidR="00643C99" w:rsidRPr="00721C11">
        <w:rPr>
          <w:rFonts w:cs="Arial"/>
          <w:lang w:val="en-US"/>
        </w:rPr>
        <w:t>t</w:t>
      </w:r>
      <w:r w:rsidRPr="00721C11">
        <w:rPr>
          <w:rFonts w:cs="Arial"/>
          <w:lang w:val="en-US"/>
        </w:rPr>
        <w:t xml:space="preserve"> </w:t>
      </w:r>
      <w:r w:rsidR="00643C99" w:rsidRPr="00721C11">
        <w:rPr>
          <w:rFonts w:cs="Arial"/>
          <w:lang w:val="en-US"/>
        </w:rPr>
        <w:t>“</w:t>
      </w:r>
      <w:r w:rsidRPr="00721C11">
        <w:rPr>
          <w:rFonts w:cs="Arial"/>
          <w:lang w:val="en-US"/>
        </w:rPr>
        <w:t>Buy-back</w:t>
      </w:r>
      <w:r w:rsidR="00643C99" w:rsidRPr="00721C11">
        <w:rPr>
          <w:rFonts w:cs="Arial"/>
          <w:lang w:val="en-US"/>
        </w:rPr>
        <w:t>” Clause</w:t>
      </w:r>
      <w:r w:rsidRPr="00721C11">
        <w:rPr>
          <w:rFonts w:cs="Arial"/>
          <w:lang w:val="en-US"/>
        </w:rPr>
        <w:t>, of Terms and Conditions for Section I, of WELCAR 2001 wording is deleted.</w:t>
      </w:r>
    </w:p>
    <w:p w14:paraId="55D09DCD" w14:textId="7A486C9B" w:rsidR="00D20472" w:rsidRPr="00721C11" w:rsidRDefault="00D20472" w:rsidP="00EF0AD6">
      <w:pPr>
        <w:tabs>
          <w:tab w:val="left" w:pos="1134"/>
        </w:tabs>
        <w:autoSpaceDE w:val="0"/>
        <w:autoSpaceDN w:val="0"/>
        <w:adjustRightInd w:val="0"/>
        <w:spacing w:before="0" w:after="240"/>
        <w:ind w:left="2127" w:hanging="1134"/>
        <w:jc w:val="both"/>
        <w:outlineLvl w:val="3"/>
        <w:rPr>
          <w:rFonts w:cs="Arial"/>
          <w:lang w:val="en-US"/>
        </w:rPr>
      </w:pPr>
      <w:r w:rsidRPr="00721C11">
        <w:rPr>
          <w:rFonts w:cs="Arial"/>
          <w:lang w:val="en-US"/>
        </w:rPr>
        <w:t xml:space="preserve">3.1.7.7.5 To calculate the amount in respect of </w:t>
      </w:r>
      <w:r w:rsidR="00A27E86">
        <w:rPr>
          <w:rFonts w:cs="Arial"/>
          <w:lang w:val="en-US"/>
        </w:rPr>
        <w:t xml:space="preserve">CAR </w:t>
      </w:r>
      <w:proofErr w:type="gramStart"/>
      <w:r w:rsidR="002B7942">
        <w:rPr>
          <w:rFonts w:cs="Arial"/>
          <w:lang w:val="en-US"/>
        </w:rPr>
        <w:t xml:space="preserve">schedule </w:t>
      </w:r>
      <w:r w:rsidRPr="00721C11">
        <w:rPr>
          <w:rFonts w:cs="Arial"/>
          <w:lang w:val="en-US"/>
        </w:rPr>
        <w:t xml:space="preserve"> A</w:t>
      </w:r>
      <w:proofErr w:type="gramEnd"/>
      <w:r w:rsidRPr="00721C11">
        <w:rPr>
          <w:rFonts w:cs="Arial"/>
          <w:lang w:val="en-US"/>
        </w:rPr>
        <w:t xml:space="preserve"> and </w:t>
      </w:r>
      <w:r w:rsidR="00CF0C30">
        <w:rPr>
          <w:rFonts w:cs="Arial"/>
          <w:lang w:val="en-US"/>
        </w:rPr>
        <w:t xml:space="preserve">CAR schedule </w:t>
      </w:r>
      <w:r w:rsidRPr="00721C11">
        <w:rPr>
          <w:rFonts w:cs="Arial"/>
          <w:lang w:val="en-US"/>
        </w:rPr>
        <w:t>B, please consider the following definitions:</w:t>
      </w:r>
    </w:p>
    <w:p w14:paraId="3F42B5C3" w14:textId="477B698C" w:rsidR="00D20472" w:rsidRPr="00AD50A5" w:rsidRDefault="00D20472" w:rsidP="00721C11">
      <w:pPr>
        <w:tabs>
          <w:tab w:val="left" w:pos="1701"/>
        </w:tabs>
        <w:spacing w:before="120" w:after="120"/>
        <w:ind w:left="1985"/>
        <w:outlineLvl w:val="5"/>
        <w:rPr>
          <w:rFonts w:cs="Arial"/>
          <w:lang w:val="en-US"/>
        </w:rPr>
      </w:pPr>
      <w:r w:rsidRPr="00721C11">
        <w:rPr>
          <w:rFonts w:cs="Arial"/>
          <w:lang w:val="en-US"/>
        </w:rPr>
        <w:t xml:space="preserve">a) </w:t>
      </w:r>
      <w:r w:rsidR="00FB1B91">
        <w:rPr>
          <w:rFonts w:cs="Arial"/>
          <w:lang w:val="en-US"/>
        </w:rPr>
        <w:t xml:space="preserve">“CAR </w:t>
      </w:r>
      <w:r w:rsidR="00A54E2B">
        <w:rPr>
          <w:rFonts w:cs="Arial"/>
          <w:lang w:val="en-US"/>
        </w:rPr>
        <w:t>s</w:t>
      </w:r>
      <w:r w:rsidR="00A54E2B" w:rsidRPr="00721C11">
        <w:rPr>
          <w:rFonts w:cs="Arial"/>
          <w:lang w:val="en-US"/>
        </w:rPr>
        <w:t xml:space="preserve">chedule </w:t>
      </w:r>
      <w:r w:rsidRPr="00721C11">
        <w:rPr>
          <w:rFonts w:cs="Arial"/>
          <w:lang w:val="en-US"/>
        </w:rPr>
        <w:t>A</w:t>
      </w:r>
      <w:r w:rsidR="00FB1B91">
        <w:rPr>
          <w:rFonts w:cs="Arial"/>
          <w:lang w:val="en-US"/>
        </w:rPr>
        <w:t>”</w:t>
      </w:r>
      <w:r w:rsidRPr="00721C11">
        <w:rPr>
          <w:rFonts w:cs="Arial"/>
          <w:lang w:val="en-US"/>
        </w:rPr>
        <w:t>: Estimated Completed Value (ECV) plus 25%</w:t>
      </w:r>
      <w:r w:rsidR="00766F53">
        <w:rPr>
          <w:rFonts w:cs="Arial"/>
          <w:lang w:val="en-US"/>
        </w:rPr>
        <w:t xml:space="preserve">. </w:t>
      </w:r>
      <w:r w:rsidR="00AD50A5" w:rsidRPr="002B7942">
        <w:rPr>
          <w:rFonts w:cs="Arial"/>
          <w:lang w:val="en-US"/>
        </w:rPr>
        <w:t>Linked to</w:t>
      </w:r>
      <w:r w:rsidR="00CF0C30">
        <w:rPr>
          <w:rFonts w:cs="Arial"/>
          <w:lang w:val="en-US"/>
        </w:rPr>
        <w:t xml:space="preserve"> sum of</w:t>
      </w:r>
      <w:r w:rsidR="00AD50A5" w:rsidRPr="002B7942">
        <w:rPr>
          <w:rFonts w:cs="Arial"/>
          <w:lang w:val="en-US"/>
        </w:rPr>
        <w:t xml:space="preserve"> Schedule A</w:t>
      </w:r>
      <w:r w:rsidR="00CF0C30">
        <w:rPr>
          <w:rFonts w:cs="Arial"/>
          <w:lang w:val="en-US"/>
        </w:rPr>
        <w:t xml:space="preserve"> and Schedule C</w:t>
      </w:r>
      <w:r w:rsidR="00AD50A5" w:rsidRPr="002B7942">
        <w:rPr>
          <w:rFonts w:cs="Arial"/>
          <w:lang w:val="en-US"/>
        </w:rPr>
        <w:t xml:space="preserve"> of Exhibit </w:t>
      </w:r>
      <w:proofErr w:type="gramStart"/>
      <w:r w:rsidR="00AD50A5" w:rsidRPr="002B7942">
        <w:rPr>
          <w:rFonts w:cs="Arial"/>
          <w:lang w:val="en-US"/>
        </w:rPr>
        <w:t>XXI</w:t>
      </w:r>
      <w:r w:rsidRPr="00AD50A5">
        <w:rPr>
          <w:rFonts w:cs="Arial"/>
          <w:lang w:val="en-US"/>
        </w:rPr>
        <w:t>;</w:t>
      </w:r>
      <w:proofErr w:type="gramEnd"/>
    </w:p>
    <w:p w14:paraId="7D43D014" w14:textId="6C77FB8E" w:rsidR="00D20472" w:rsidRPr="00611B76" w:rsidRDefault="00D20472" w:rsidP="002B7942">
      <w:pPr>
        <w:autoSpaceDE w:val="0"/>
        <w:autoSpaceDN w:val="0"/>
        <w:adjustRightInd w:val="0"/>
        <w:ind w:left="1985"/>
        <w:jc w:val="both"/>
        <w:rPr>
          <w:rFonts w:cs="Arial"/>
          <w:lang w:val="en-US"/>
        </w:rPr>
      </w:pPr>
      <w:r w:rsidRPr="00611B76">
        <w:rPr>
          <w:rFonts w:cs="Arial"/>
          <w:lang w:val="en-US"/>
        </w:rPr>
        <w:t xml:space="preserve">b) </w:t>
      </w:r>
      <w:r w:rsidR="00FB1B91">
        <w:rPr>
          <w:rFonts w:cs="Arial"/>
          <w:lang w:val="en-US"/>
        </w:rPr>
        <w:t xml:space="preserve">“CAR </w:t>
      </w:r>
      <w:r w:rsidR="00A54E2B">
        <w:rPr>
          <w:rFonts w:cs="Arial"/>
          <w:lang w:val="en-US"/>
        </w:rPr>
        <w:t>s</w:t>
      </w:r>
      <w:r w:rsidR="00B76287" w:rsidRPr="007C7D81">
        <w:rPr>
          <w:rFonts w:cs="Arial"/>
          <w:lang w:val="en-US"/>
        </w:rPr>
        <w:t>ched</w:t>
      </w:r>
      <w:r w:rsidR="001919A7" w:rsidRPr="007C7D81">
        <w:rPr>
          <w:rFonts w:cs="Arial"/>
          <w:lang w:val="en-US"/>
        </w:rPr>
        <w:t>u</w:t>
      </w:r>
      <w:r w:rsidR="00B76287" w:rsidRPr="007C7D81">
        <w:rPr>
          <w:rFonts w:cs="Arial"/>
          <w:lang w:val="en-US"/>
        </w:rPr>
        <w:t>le</w:t>
      </w:r>
      <w:r w:rsidR="001919A7" w:rsidRPr="007C7D81">
        <w:rPr>
          <w:rFonts w:cs="Arial"/>
          <w:lang w:val="en-US"/>
        </w:rPr>
        <w:t xml:space="preserve"> </w:t>
      </w:r>
      <w:r w:rsidR="00FB1B91">
        <w:rPr>
          <w:rFonts w:cs="Arial"/>
          <w:lang w:val="en-US"/>
        </w:rPr>
        <w:t>B”</w:t>
      </w:r>
      <w:r w:rsidR="00FD3D71">
        <w:rPr>
          <w:rFonts w:cs="Arial"/>
          <w:lang w:val="en-US"/>
        </w:rPr>
        <w:t>:</w:t>
      </w:r>
      <w:r w:rsidR="00475333" w:rsidRPr="007C7D81">
        <w:rPr>
          <w:rFonts w:cs="Arial"/>
          <w:lang w:val="en-US"/>
        </w:rPr>
        <w:t xml:space="preserve"> </w:t>
      </w:r>
      <w:r w:rsidR="00D35EEE">
        <w:rPr>
          <w:rFonts w:cs="Arial"/>
          <w:lang w:val="en-US"/>
        </w:rPr>
        <w:t xml:space="preserve">are composed by </w:t>
      </w:r>
      <w:r w:rsidR="00C33ED2">
        <w:rPr>
          <w:rFonts w:cs="Arial"/>
          <w:lang w:val="en-US"/>
        </w:rPr>
        <w:t xml:space="preserve">values of other </w:t>
      </w:r>
      <w:proofErr w:type="gramStart"/>
      <w:r w:rsidR="00C33ED2">
        <w:rPr>
          <w:rFonts w:cs="Arial"/>
          <w:lang w:val="en-US"/>
        </w:rPr>
        <w:t>constituents</w:t>
      </w:r>
      <w:proofErr w:type="gramEnd"/>
      <w:r w:rsidR="001F704A">
        <w:rPr>
          <w:rFonts w:cs="Arial"/>
          <w:lang w:val="en-US"/>
        </w:rPr>
        <w:t xml:space="preserve"> elements of the Project </w:t>
      </w:r>
      <w:r w:rsidR="00611B76" w:rsidRPr="002B7942">
        <w:rPr>
          <w:rFonts w:cs="Arial"/>
          <w:lang w:val="en-US"/>
        </w:rPr>
        <w:t>(such as materials and work/managerial inputs provided by Buyer etc., not included in the value of the contracts, and allocated in accordance with the contractual schedule of events)</w:t>
      </w:r>
      <w:r w:rsidR="00407C3E">
        <w:rPr>
          <w:rFonts w:cs="Arial"/>
          <w:lang w:val="en-US"/>
        </w:rPr>
        <w:t>.</w:t>
      </w:r>
      <w:r w:rsidRPr="00611B76">
        <w:rPr>
          <w:rFonts w:cs="Arial"/>
          <w:strike/>
          <w:lang w:val="en-US"/>
        </w:rPr>
        <w:t xml:space="preserve"> </w:t>
      </w:r>
    </w:p>
    <w:p w14:paraId="2D929218" w14:textId="77777777" w:rsidR="00721C11" w:rsidRPr="00611B76" w:rsidRDefault="00721C11" w:rsidP="004519A3">
      <w:pPr>
        <w:pStyle w:val="Ttulo2"/>
        <w:numPr>
          <w:ilvl w:val="0"/>
          <w:numId w:val="0"/>
        </w:numPr>
      </w:pPr>
    </w:p>
    <w:p w14:paraId="6AFB5BE3" w14:textId="77777777" w:rsidR="00CF5DC2" w:rsidRDefault="00643C99" w:rsidP="00EF0AD6">
      <w:pPr>
        <w:pStyle w:val="texto2"/>
      </w:pPr>
      <w:r w:rsidRPr="00721C11">
        <w:t>BUYER’</w:t>
      </w:r>
      <w:r w:rsidR="00EF0AD6">
        <w:t>s</w:t>
      </w:r>
      <w:r w:rsidRPr="00721C11">
        <w:t xml:space="preserve"> </w:t>
      </w:r>
      <w:r w:rsidR="00EF0AD6" w:rsidRPr="00721C11">
        <w:t xml:space="preserve">corporative </w:t>
      </w:r>
      <w:proofErr w:type="gramStart"/>
      <w:r w:rsidR="00EF0AD6" w:rsidRPr="00721C11">
        <w:t>third party</w:t>
      </w:r>
      <w:proofErr w:type="gramEnd"/>
      <w:r w:rsidR="00EF0AD6" w:rsidRPr="00721C11">
        <w:t xml:space="preserve"> liability insurance</w:t>
      </w:r>
      <w:r w:rsidR="0058453E" w:rsidRPr="00721C11">
        <w:t xml:space="preserve"> (Seguro de </w:t>
      </w:r>
      <w:proofErr w:type="spellStart"/>
      <w:r w:rsidR="0058453E" w:rsidRPr="00721C11">
        <w:t>Responsabilidade</w:t>
      </w:r>
      <w:proofErr w:type="spellEnd"/>
      <w:r w:rsidR="0058453E" w:rsidRPr="00721C11">
        <w:t xml:space="preserve"> Civil)</w:t>
      </w:r>
    </w:p>
    <w:p w14:paraId="48010402" w14:textId="77777777" w:rsidR="00721C11" w:rsidRPr="00721C11" w:rsidRDefault="00721C11" w:rsidP="004519A3">
      <w:pPr>
        <w:pStyle w:val="Ttulo2"/>
        <w:numPr>
          <w:ilvl w:val="0"/>
          <w:numId w:val="0"/>
        </w:numPr>
      </w:pPr>
    </w:p>
    <w:p w14:paraId="6A0393F8" w14:textId="51FA7A9C" w:rsidR="00DA2EE6" w:rsidRDefault="00643C99" w:rsidP="00EF0AD6">
      <w:pPr>
        <w:pStyle w:val="texto3"/>
      </w:pPr>
      <w:r w:rsidRPr="00721C11">
        <w:t xml:space="preserve">During such times as Seller and its subcontractors are undertaking operational activities throughout the term of this </w:t>
      </w:r>
      <w:r w:rsidR="00E06FD2">
        <w:t>Agreement</w:t>
      </w:r>
      <w:r w:rsidRPr="00721C11">
        <w:t xml:space="preserve">, in accordance </w:t>
      </w:r>
      <w:r w:rsidRPr="00721C11">
        <w:lastRenderedPageBreak/>
        <w:t>with its provisions, they shall be covered by Buyer’s General Third Party Liability Insurance up to an insured value of US$250 million, and neither they, nor their respective rights and interests, shall be subject to the subrogation rights of Buyer’s Insurer.</w:t>
      </w:r>
    </w:p>
    <w:p w14:paraId="265089BB" w14:textId="77777777" w:rsidR="001B2891" w:rsidRDefault="001B2891" w:rsidP="00EF0AD6">
      <w:pPr>
        <w:pStyle w:val="texto3"/>
      </w:pPr>
      <w:r w:rsidRPr="00721C11">
        <w:t>Not Applicable</w:t>
      </w:r>
    </w:p>
    <w:p w14:paraId="7AC08F57" w14:textId="77777777" w:rsidR="00721C11" w:rsidRDefault="009C3D7E" w:rsidP="00EF0AD6">
      <w:pPr>
        <w:pStyle w:val="texto2"/>
      </w:pPr>
      <w:r w:rsidRPr="00721C11">
        <w:t>Not Applicable</w:t>
      </w:r>
    </w:p>
    <w:p w14:paraId="4847F697" w14:textId="77777777" w:rsidR="0058453E" w:rsidRPr="00EF0AD6" w:rsidRDefault="00EF0AD6" w:rsidP="00EF0AD6">
      <w:pPr>
        <w:pStyle w:val="texto2"/>
        <w:rPr>
          <w:lang w:val="pt-BR"/>
        </w:rPr>
      </w:pPr>
      <w:r w:rsidRPr="00EF0AD6">
        <w:rPr>
          <w:lang w:val="pt-BR"/>
        </w:rPr>
        <w:t xml:space="preserve">Corporate </w:t>
      </w:r>
      <w:proofErr w:type="spellStart"/>
      <w:r w:rsidRPr="00EF0AD6">
        <w:rPr>
          <w:lang w:val="pt-BR"/>
        </w:rPr>
        <w:t>operational</w:t>
      </w:r>
      <w:proofErr w:type="spellEnd"/>
      <w:r w:rsidRPr="00EF0AD6">
        <w:rPr>
          <w:lang w:val="pt-BR"/>
        </w:rPr>
        <w:t xml:space="preserve"> </w:t>
      </w:r>
      <w:proofErr w:type="spellStart"/>
      <w:r w:rsidRPr="00EF0AD6">
        <w:rPr>
          <w:lang w:val="pt-BR"/>
        </w:rPr>
        <w:t>risks</w:t>
      </w:r>
      <w:proofErr w:type="spellEnd"/>
      <w:r w:rsidRPr="00EF0AD6">
        <w:rPr>
          <w:lang w:val="pt-BR"/>
        </w:rPr>
        <w:t xml:space="preserve"> </w:t>
      </w:r>
      <w:proofErr w:type="spellStart"/>
      <w:r w:rsidRPr="00EF0AD6">
        <w:rPr>
          <w:lang w:val="pt-BR"/>
        </w:rPr>
        <w:t>insurance</w:t>
      </w:r>
      <w:proofErr w:type="spellEnd"/>
      <w:r w:rsidRPr="00EF0AD6">
        <w:rPr>
          <w:lang w:val="pt-BR"/>
        </w:rPr>
        <w:t xml:space="preserve"> for offshore </w:t>
      </w:r>
      <w:proofErr w:type="spellStart"/>
      <w:r w:rsidRPr="00EF0AD6">
        <w:rPr>
          <w:lang w:val="pt-BR"/>
        </w:rPr>
        <w:t>physical</w:t>
      </w:r>
      <w:proofErr w:type="spellEnd"/>
      <w:r w:rsidRPr="00EF0AD6">
        <w:rPr>
          <w:lang w:val="pt-BR"/>
        </w:rPr>
        <w:t xml:space="preserve"> </w:t>
      </w:r>
      <w:proofErr w:type="spellStart"/>
      <w:r w:rsidRPr="00EF0AD6">
        <w:rPr>
          <w:lang w:val="pt-BR"/>
        </w:rPr>
        <w:t>installations</w:t>
      </w:r>
      <w:proofErr w:type="spellEnd"/>
      <w:r w:rsidR="0058453E" w:rsidRPr="00EF0AD6">
        <w:rPr>
          <w:lang w:val="pt-BR"/>
        </w:rPr>
        <w:t xml:space="preserve"> (Seguro Corporativo de </w:t>
      </w:r>
      <w:smartTag w:uri="schemas-houaiss/mini" w:element="verbetes">
        <w:r w:rsidR="0058453E" w:rsidRPr="00EF0AD6">
          <w:rPr>
            <w:lang w:val="pt-BR"/>
          </w:rPr>
          <w:t>Riscos</w:t>
        </w:r>
      </w:smartTag>
      <w:r w:rsidR="0058453E" w:rsidRPr="00EF0AD6">
        <w:rPr>
          <w:lang w:val="pt-BR"/>
        </w:rPr>
        <w:t xml:space="preserve"> </w:t>
      </w:r>
      <w:smartTag w:uri="schemas-houaiss/mini" w:element="verbetes">
        <w:r w:rsidR="0058453E" w:rsidRPr="00EF0AD6">
          <w:rPr>
            <w:lang w:val="pt-BR"/>
          </w:rPr>
          <w:t>Operacionais</w:t>
        </w:r>
      </w:smartTag>
      <w:r w:rsidR="0058453E" w:rsidRPr="00EF0AD6">
        <w:rPr>
          <w:lang w:val="pt-BR"/>
        </w:rPr>
        <w:t xml:space="preserve"> das </w:t>
      </w:r>
      <w:smartTag w:uri="schemas-houaiss/mini" w:element="verbetes">
        <w:r w:rsidR="0058453E" w:rsidRPr="00EF0AD6">
          <w:rPr>
            <w:lang w:val="pt-BR"/>
          </w:rPr>
          <w:t>Instalações</w:t>
        </w:r>
      </w:smartTag>
      <w:r w:rsidR="0058453E" w:rsidRPr="00EF0AD6">
        <w:rPr>
          <w:lang w:val="pt-BR"/>
        </w:rPr>
        <w:t xml:space="preserve"> Offshore</w:t>
      </w:r>
      <w:r w:rsidR="00316275" w:rsidRPr="00EF0AD6">
        <w:rPr>
          <w:lang w:val="pt-BR"/>
        </w:rPr>
        <w:t xml:space="preserve"> – Seguro de Riscos de Petróleo - RP</w:t>
      </w:r>
      <w:r w:rsidR="00B16753" w:rsidRPr="00EF0AD6">
        <w:rPr>
          <w:lang w:val="pt-BR"/>
        </w:rPr>
        <w:t>)</w:t>
      </w:r>
    </w:p>
    <w:p w14:paraId="0BCBCD9C" w14:textId="27F1CBA4" w:rsidR="0058453E" w:rsidRDefault="00643C99" w:rsidP="00EF0AD6">
      <w:pPr>
        <w:pStyle w:val="texto3"/>
      </w:pPr>
      <w:r w:rsidRPr="00721C11">
        <w:t xml:space="preserve">During such times as Seller and its subcontractors are performing services throughout the term of this </w:t>
      </w:r>
      <w:r w:rsidR="000F1D1D">
        <w:t>Agreement</w:t>
      </w:r>
      <w:r w:rsidRPr="00721C11">
        <w:t xml:space="preserve">, in accordance with its provisions, at a Site covered by Buyer’s Corporate Operational Risks Insurance for Offshore Physical </w:t>
      </w:r>
      <w:r w:rsidR="003A0457">
        <w:t>i</w:t>
      </w:r>
      <w:r w:rsidRPr="00721C11">
        <w:t>nstallations, they shall be considered as additional assured parties pursuant to such a policy, and neither they nor their respective rights and interests shall be subject to the subrogation rights of Buyer’s Insurer.</w:t>
      </w:r>
    </w:p>
    <w:p w14:paraId="249B897A" w14:textId="77777777" w:rsidR="00BA46B1" w:rsidRDefault="00506948" w:rsidP="00EF0AD6">
      <w:pPr>
        <w:pStyle w:val="texto2"/>
      </w:pPr>
      <w:r w:rsidRPr="00721C11">
        <w:t xml:space="preserve">P&amp;I </w:t>
      </w:r>
      <w:r w:rsidR="00EF0AD6" w:rsidRPr="00721C11">
        <w:t>coverage</w:t>
      </w:r>
    </w:p>
    <w:p w14:paraId="7DF5E2CF" w14:textId="021E2BAC" w:rsidR="00BA46B1" w:rsidRDefault="00643C99" w:rsidP="00EF0AD6">
      <w:pPr>
        <w:pStyle w:val="texto3"/>
      </w:pPr>
      <w:r w:rsidRPr="00721C11">
        <w:t xml:space="preserve">From the Sail Away date and up until the term of the </w:t>
      </w:r>
      <w:r w:rsidR="00464D7E">
        <w:t>Agreement</w:t>
      </w:r>
      <w:r w:rsidRPr="00721C11">
        <w:t xml:space="preserve"> has expired, Buyer will enroll the UNIT in a P&amp;I Club, under conditions </w:t>
      </w:r>
      <w:proofErr w:type="gramStart"/>
      <w:r w:rsidRPr="00721C11">
        <w:t>similar to</w:t>
      </w:r>
      <w:proofErr w:type="gramEnd"/>
      <w:r w:rsidRPr="00721C11">
        <w:t xml:space="preserve"> those covering other similar units of the Buyer’s fleet</w:t>
      </w:r>
      <w:r w:rsidR="00A53E98" w:rsidRPr="00721C11">
        <w:t>.</w:t>
      </w:r>
    </w:p>
    <w:p w14:paraId="5D0B2911" w14:textId="77777777" w:rsidR="00EF0AD6" w:rsidRDefault="00EF0AD6" w:rsidP="00EF0AD6">
      <w:pPr>
        <w:pStyle w:val="texto3"/>
        <w:numPr>
          <w:ilvl w:val="0"/>
          <w:numId w:val="0"/>
        </w:numPr>
        <w:ind w:left="709"/>
      </w:pPr>
    </w:p>
    <w:p w14:paraId="10335369" w14:textId="77777777" w:rsidR="00CF5DC2" w:rsidRPr="00721C11" w:rsidRDefault="00CF5DC2" w:rsidP="00577F15">
      <w:pPr>
        <w:numPr>
          <w:ilvl w:val="0"/>
          <w:numId w:val="11"/>
        </w:numPr>
        <w:tabs>
          <w:tab w:val="clear" w:pos="1069"/>
          <w:tab w:val="left" w:pos="1134"/>
        </w:tabs>
        <w:spacing w:before="120" w:after="120"/>
        <w:ind w:hanging="1069"/>
        <w:jc w:val="both"/>
        <w:outlineLvl w:val="0"/>
        <w:rPr>
          <w:rFonts w:cs="Arial"/>
          <w:b/>
          <w:kern w:val="32"/>
        </w:rPr>
      </w:pPr>
      <w:bookmarkStart w:id="48" w:name="_Toc217383398"/>
      <w:bookmarkStart w:id="49" w:name="_Toc217556405"/>
      <w:bookmarkStart w:id="50" w:name="_Toc282443809"/>
      <w:bookmarkStart w:id="51" w:name="_Toc313631316"/>
      <w:bookmarkStart w:id="52" w:name="_Toc179496580"/>
      <w:r w:rsidRPr="00721C11">
        <w:rPr>
          <w:rFonts w:cs="Arial"/>
          <w:b/>
          <w:kern w:val="32"/>
        </w:rPr>
        <w:t>APPENDIX</w:t>
      </w:r>
      <w:bookmarkEnd w:id="48"/>
      <w:bookmarkEnd w:id="49"/>
      <w:bookmarkEnd w:id="50"/>
      <w:bookmarkEnd w:id="51"/>
      <w:r w:rsidR="00643946" w:rsidRPr="00721C11">
        <w:rPr>
          <w:rFonts w:cs="Arial"/>
          <w:b/>
          <w:kern w:val="32"/>
        </w:rPr>
        <w:t xml:space="preserve"> I</w:t>
      </w:r>
      <w:bookmarkEnd w:id="52"/>
    </w:p>
    <w:p w14:paraId="1C139BA5" w14:textId="77777777" w:rsidR="00CF5DC2" w:rsidRPr="002B7942" w:rsidRDefault="00EF0AD6" w:rsidP="00145A92">
      <w:pPr>
        <w:tabs>
          <w:tab w:val="left" w:pos="1134"/>
        </w:tabs>
        <w:spacing w:before="120" w:after="120"/>
        <w:ind w:left="709" w:hanging="709"/>
        <w:jc w:val="both"/>
        <w:outlineLvl w:val="1"/>
        <w:rPr>
          <w:rFonts w:cs="Arial"/>
          <w:lang w:val="en-US"/>
        </w:rPr>
      </w:pPr>
      <w:r w:rsidRPr="002B7942">
        <w:rPr>
          <w:rFonts w:cs="Arial"/>
          <w:lang w:val="en-US"/>
        </w:rPr>
        <w:t xml:space="preserve">APPENDIX I - </w:t>
      </w:r>
      <w:proofErr w:type="spellStart"/>
      <w:r w:rsidR="00CF5DC2" w:rsidRPr="002B7942">
        <w:rPr>
          <w:rFonts w:cs="Arial"/>
          <w:lang w:val="en-US"/>
        </w:rPr>
        <w:t>Welcar</w:t>
      </w:r>
      <w:proofErr w:type="spellEnd"/>
      <w:r w:rsidR="00CF5DC2" w:rsidRPr="002B7942">
        <w:rPr>
          <w:rFonts w:cs="Arial"/>
          <w:lang w:val="en-US"/>
        </w:rPr>
        <w:t xml:space="preserve"> 2001 Wording - Offshore Construction Project Policy.</w:t>
      </w:r>
    </w:p>
    <w:p w14:paraId="3746BAC5" w14:textId="77777777" w:rsidR="009146D5" w:rsidRDefault="00EF0AD6" w:rsidP="00145A92">
      <w:pPr>
        <w:tabs>
          <w:tab w:val="left" w:pos="1134"/>
        </w:tabs>
        <w:spacing w:before="120" w:after="120"/>
        <w:jc w:val="both"/>
        <w:outlineLvl w:val="1"/>
        <w:rPr>
          <w:rFonts w:cs="Arial"/>
          <w:lang w:val="en-US"/>
        </w:rPr>
      </w:pPr>
      <w:r w:rsidRPr="002B7942">
        <w:rPr>
          <w:rFonts w:cs="Arial"/>
          <w:lang w:val="en-US"/>
        </w:rPr>
        <w:t xml:space="preserve">APPENDIX </w:t>
      </w:r>
      <w:proofErr w:type="spellStart"/>
      <w:r w:rsidRPr="002B7942">
        <w:rPr>
          <w:rFonts w:cs="Arial"/>
          <w:lang w:val="en-US"/>
        </w:rPr>
        <w:t>i</w:t>
      </w:r>
      <w:proofErr w:type="spellEnd"/>
      <w:r w:rsidRPr="002B7942">
        <w:rPr>
          <w:rFonts w:cs="Arial"/>
          <w:lang w:val="en-US"/>
        </w:rPr>
        <w:t xml:space="preserve"> - </w:t>
      </w:r>
      <w:r w:rsidR="009146D5" w:rsidRPr="002B7942">
        <w:rPr>
          <w:rFonts w:cs="Arial"/>
          <w:lang w:val="en-US"/>
        </w:rPr>
        <w:t>Joint Rig Committee - Upstream Construction Code of Practice, Upstream Construction Scope of Work and Upstream Construction Certificate of Approval Requirements and Examples.</w:t>
      </w:r>
    </w:p>
    <w:p w14:paraId="2F77E964" w14:textId="77777777" w:rsidR="00721C11" w:rsidRPr="00721C11" w:rsidRDefault="00721C11" w:rsidP="00721C11">
      <w:pPr>
        <w:tabs>
          <w:tab w:val="left" w:pos="1134"/>
        </w:tabs>
        <w:spacing w:before="120" w:after="120"/>
        <w:ind w:left="1069"/>
        <w:jc w:val="both"/>
        <w:outlineLvl w:val="1"/>
        <w:rPr>
          <w:rFonts w:cs="Arial"/>
          <w:lang w:val="en-US"/>
        </w:rPr>
      </w:pPr>
    </w:p>
    <w:p w14:paraId="2641624B" w14:textId="77777777" w:rsidR="009146D5" w:rsidRPr="00721C11" w:rsidRDefault="009146D5" w:rsidP="009146D5">
      <w:pPr>
        <w:tabs>
          <w:tab w:val="left" w:pos="1134"/>
        </w:tabs>
        <w:spacing w:before="120" w:after="120"/>
        <w:jc w:val="both"/>
        <w:rPr>
          <w:rFonts w:cs="Arial"/>
          <w:lang w:val="en-US"/>
        </w:rPr>
      </w:pPr>
      <w:r w:rsidRPr="00721C11">
        <w:rPr>
          <w:rFonts w:cs="Arial"/>
          <w:lang w:val="en-US"/>
        </w:rPr>
        <w:t xml:space="preserve">Note: complementary guidelines to the </w:t>
      </w:r>
      <w:proofErr w:type="spellStart"/>
      <w:r w:rsidRPr="00721C11">
        <w:rPr>
          <w:rFonts w:cs="Arial"/>
          <w:lang w:val="en-US"/>
        </w:rPr>
        <w:t>Welcar</w:t>
      </w:r>
      <w:proofErr w:type="spellEnd"/>
      <w:r w:rsidRPr="00721C11">
        <w:rPr>
          <w:rFonts w:cs="Arial"/>
          <w:lang w:val="en-US"/>
        </w:rPr>
        <w:t xml:space="preserve"> 2001 Wording document, applicable to item 15 of the chapter TERMS AND CONDITIONS - "15. WARRANTY (EXEMPLARY—FINAL VERSION TO BE AGREED)".</w:t>
      </w:r>
    </w:p>
    <w:sectPr w:rsidR="009146D5" w:rsidRPr="00721C11" w:rsidSect="004519A3">
      <w:headerReference w:type="default" r:id="rId12"/>
      <w:footerReference w:type="even" r:id="rId13"/>
      <w:footerReference w:type="default" r:id="rId14"/>
      <w:footerReference w:type="first" r:id="rId15"/>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0F56" w14:textId="77777777" w:rsidR="00D57FB4" w:rsidRDefault="00D57FB4">
      <w:r>
        <w:separator/>
      </w:r>
    </w:p>
  </w:endnote>
  <w:endnote w:type="continuationSeparator" w:id="0">
    <w:p w14:paraId="0AE9C5A0" w14:textId="77777777" w:rsidR="00D57FB4" w:rsidRDefault="00D5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Bahnschrift SemiBol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4591" w14:textId="4CB7C671" w:rsidR="00645935" w:rsidRDefault="00645935">
    <w:pPr>
      <w:pStyle w:val="Rodap"/>
    </w:pPr>
    <w:r>
      <w:rPr>
        <w:noProof/>
      </w:rPr>
      <mc:AlternateContent>
        <mc:Choice Requires="wps">
          <w:drawing>
            <wp:anchor distT="0" distB="0" distL="0" distR="0" simplePos="0" relativeHeight="251658242" behindDoc="0" locked="0" layoutInCell="1" allowOverlap="1" wp14:anchorId="4144C666" wp14:editId="2151B2A0">
              <wp:simplePos x="635" y="635"/>
              <wp:positionH relativeFrom="page">
                <wp:align>left</wp:align>
              </wp:positionH>
              <wp:positionV relativeFrom="page">
                <wp:align>bottom</wp:align>
              </wp:positionV>
              <wp:extent cx="682625" cy="475615"/>
              <wp:effectExtent l="0" t="0" r="3175" b="0"/>
              <wp:wrapNone/>
              <wp:docPr id="326111667" name="Caixa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475615"/>
                      </a:xfrm>
                      <a:prstGeom prst="rect">
                        <a:avLst/>
                      </a:prstGeom>
                      <a:noFill/>
                      <a:ln>
                        <a:noFill/>
                      </a:ln>
                    </wps:spPr>
                    <wps:txbx>
                      <w:txbxContent>
                        <w:p w14:paraId="6407C806" w14:textId="19918039" w:rsidR="00645935" w:rsidRPr="00645935" w:rsidRDefault="00645935" w:rsidP="00645935">
                          <w:pPr>
                            <w:rPr>
                              <w:rFonts w:ascii="Trebuchet MS" w:eastAsia="Trebuchet MS" w:hAnsi="Trebuchet MS" w:cs="Trebuchet MS"/>
                              <w:noProof/>
                              <w:color w:val="737373"/>
                              <w:sz w:val="18"/>
                              <w:szCs w:val="18"/>
                            </w:rPr>
                          </w:pPr>
                          <w:r w:rsidRPr="00645935">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44C666" id="_x0000_t202" coordsize="21600,21600" o:spt="202" path="m,l,21600r21600,l21600,xe">
              <v:stroke joinstyle="miter"/>
              <v:path gradientshapeok="t" o:connecttype="rect"/>
            </v:shapetype>
            <v:shape id="Caixa de Texto 2" o:spid="_x0000_s1026" type="#_x0000_t202" alt="PÚBLICA" style="position:absolute;margin-left:0;margin-top:0;width:53.75pt;height:37.4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" filled="f" stroked="f">
              <v:textbox style="mso-fit-shape-to-text:t" inset="20pt,0,0,15pt">
                <w:txbxContent>
                  <w:p w14:paraId="6407C806" w14:textId="19918039" w:rsidR="00645935" w:rsidRPr="00645935" w:rsidRDefault="00645935" w:rsidP="00645935">
                    <w:pPr>
                      <w:rPr>
                        <w:rFonts w:ascii="Trebuchet MS" w:eastAsia="Trebuchet MS" w:hAnsi="Trebuchet MS" w:cs="Trebuchet MS"/>
                        <w:noProof/>
                        <w:color w:val="737373"/>
                        <w:sz w:val="18"/>
                        <w:szCs w:val="18"/>
                      </w:rPr>
                    </w:pPr>
                    <w:r w:rsidRPr="00645935">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A3FA" w14:textId="34345845" w:rsidR="001A44FD" w:rsidRDefault="00645935" w:rsidP="004519A3">
    <w:pPr>
      <w:spacing w:before="0"/>
      <w:jc w:val="center"/>
      <w:rPr>
        <w:bCs/>
        <w:sz w:val="20"/>
        <w:szCs w:val="20"/>
        <w:lang w:val="en-GB"/>
      </w:rPr>
    </w:pPr>
    <w:r>
      <w:rPr>
        <w:bCs/>
        <w:noProof/>
        <w:sz w:val="20"/>
        <w:szCs w:val="20"/>
        <w:lang w:val="en-GB"/>
      </w:rPr>
      <mc:AlternateContent>
        <mc:Choice Requires="wps">
          <w:drawing>
            <wp:anchor distT="0" distB="0" distL="0" distR="0" simplePos="0" relativeHeight="251658243" behindDoc="0" locked="0" layoutInCell="1" allowOverlap="1" wp14:anchorId="572B14AC" wp14:editId="5EC36A55">
              <wp:simplePos x="1083212" y="9777046"/>
              <wp:positionH relativeFrom="page">
                <wp:align>left</wp:align>
              </wp:positionH>
              <wp:positionV relativeFrom="page">
                <wp:align>bottom</wp:align>
              </wp:positionV>
              <wp:extent cx="682625" cy="475615"/>
              <wp:effectExtent l="0" t="0" r="3175" b="0"/>
              <wp:wrapNone/>
              <wp:docPr id="528763692" name="Caixa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475615"/>
                      </a:xfrm>
                      <a:prstGeom prst="rect">
                        <a:avLst/>
                      </a:prstGeom>
                      <a:noFill/>
                      <a:ln>
                        <a:noFill/>
                      </a:ln>
                    </wps:spPr>
                    <wps:txbx>
                      <w:txbxContent>
                        <w:p w14:paraId="5EB5B162" w14:textId="7B62E679" w:rsidR="00645935" w:rsidRPr="00645935" w:rsidRDefault="00645935" w:rsidP="00645935">
                          <w:pPr>
                            <w:rPr>
                              <w:rFonts w:ascii="Trebuchet MS" w:eastAsia="Trebuchet MS" w:hAnsi="Trebuchet MS" w:cs="Trebuchet MS"/>
                              <w:noProof/>
                              <w:color w:val="737373"/>
                              <w:sz w:val="18"/>
                              <w:szCs w:val="18"/>
                            </w:rPr>
                          </w:pPr>
                          <w:r w:rsidRPr="00645935">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2B14AC" id="_x0000_t202" coordsize="21600,21600" o:spt="202" path="m,l,21600r21600,l21600,xe">
              <v:stroke joinstyle="miter"/>
              <v:path gradientshapeok="t" o:connecttype="rect"/>
            </v:shapetype>
            <v:shape id="Caixa de Texto 3" o:spid="_x0000_s1027" type="#_x0000_t202" alt="PÚBLICA" style="position:absolute;left:0;text-align:left;margin-left:0;margin-top:0;width:53.75pt;height:37.4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" filled="f" stroked="f">
              <v:textbox style="mso-fit-shape-to-text:t" inset="20pt,0,0,15pt">
                <w:txbxContent>
                  <w:p w14:paraId="5EB5B162" w14:textId="7B62E679" w:rsidR="00645935" w:rsidRPr="00645935" w:rsidRDefault="00645935" w:rsidP="00645935">
                    <w:pPr>
                      <w:rPr>
                        <w:rFonts w:ascii="Trebuchet MS" w:eastAsia="Trebuchet MS" w:hAnsi="Trebuchet MS" w:cs="Trebuchet MS"/>
                        <w:noProof/>
                        <w:color w:val="737373"/>
                        <w:sz w:val="18"/>
                        <w:szCs w:val="18"/>
                      </w:rPr>
                    </w:pPr>
                    <w:r w:rsidRPr="00645935">
                      <w:rPr>
                        <w:rFonts w:ascii="Trebuchet MS" w:eastAsia="Trebuchet MS" w:hAnsi="Trebuchet MS" w:cs="Trebuchet MS"/>
                        <w:noProof/>
                        <w:color w:val="737373"/>
                        <w:sz w:val="18"/>
                        <w:szCs w:val="18"/>
                      </w:rPr>
                      <w:t>PÚBLICA</w:t>
                    </w:r>
                  </w:p>
                </w:txbxContent>
              </v:textbox>
              <w10:wrap anchorx="page" anchory="page"/>
            </v:shape>
          </w:pict>
        </mc:Fallback>
      </mc:AlternateContent>
    </w:r>
    <w:r w:rsidR="00577F15" w:rsidRPr="00577F15">
      <w:rPr>
        <w:bCs/>
        <w:sz w:val="20"/>
        <w:szCs w:val="20"/>
        <w:lang w:val="en-GB"/>
      </w:rPr>
      <w:t xml:space="preserve">EXHIBIT </w:t>
    </w:r>
    <w:r w:rsidR="009D4800" w:rsidRPr="00577F15">
      <w:rPr>
        <w:bCs/>
        <w:sz w:val="20"/>
        <w:szCs w:val="20"/>
        <w:lang w:val="en-GB"/>
      </w:rPr>
      <w:t>X</w:t>
    </w:r>
    <w:r w:rsidR="009D4800">
      <w:rPr>
        <w:bCs/>
        <w:sz w:val="20"/>
        <w:szCs w:val="20"/>
        <w:lang w:val="en-GB"/>
      </w:rPr>
      <w:t>II</w:t>
    </w:r>
    <w:r w:rsidR="009D4800" w:rsidRPr="00577F15">
      <w:rPr>
        <w:bCs/>
        <w:sz w:val="20"/>
        <w:szCs w:val="20"/>
        <w:lang w:val="en-GB"/>
      </w:rPr>
      <w:t xml:space="preserve"> </w:t>
    </w:r>
    <w:r w:rsidR="00577F15" w:rsidRPr="00577F15">
      <w:rPr>
        <w:bCs/>
        <w:sz w:val="20"/>
        <w:szCs w:val="20"/>
        <w:lang w:val="en-GB"/>
      </w:rPr>
      <w:t xml:space="preserve">– </w:t>
    </w:r>
    <w:r w:rsidR="00577F15">
      <w:rPr>
        <w:bCs/>
        <w:sz w:val="20"/>
        <w:szCs w:val="20"/>
        <w:lang w:val="en-GB"/>
      </w:rPr>
      <w:t>INSURANCE REQUIREMENTS</w:t>
    </w:r>
  </w:p>
  <w:p w14:paraId="178D7BAC" w14:textId="77777777" w:rsidR="004519A3" w:rsidRPr="008A74F8" w:rsidRDefault="004519A3" w:rsidP="004519A3">
    <w:pPr>
      <w:spacing w:before="0"/>
      <w:jc w:val="center"/>
      <w:rPr>
        <w:rStyle w:val="Nmerodepgina"/>
        <w:lang w:val="en-US"/>
      </w:rPr>
    </w:pPr>
  </w:p>
  <w:p w14:paraId="29CE44C3" w14:textId="77777777" w:rsidR="001A44FD" w:rsidRPr="008A74F8" w:rsidRDefault="004D3C2B" w:rsidP="004519A3">
    <w:pPr>
      <w:spacing w:before="0"/>
      <w:jc w:val="center"/>
      <w:rPr>
        <w:sz w:val="20"/>
        <w:szCs w:val="20"/>
        <w:lang w:val="en-US"/>
      </w:rPr>
    </w:pPr>
    <w:r w:rsidRPr="008A74F8">
      <w:rPr>
        <w:rStyle w:val="Nmerodepgina"/>
        <w:sz w:val="20"/>
        <w:szCs w:val="20"/>
        <w:lang w:val="en-US"/>
      </w:rPr>
      <w:t xml:space="preserve">Page </w:t>
    </w:r>
    <w:r w:rsidR="001A44FD" w:rsidRPr="001A44FD">
      <w:rPr>
        <w:rStyle w:val="Nmerodepgina"/>
        <w:sz w:val="20"/>
        <w:szCs w:val="20"/>
      </w:rPr>
      <w:fldChar w:fldCharType="begin"/>
    </w:r>
    <w:r w:rsidR="001A44FD" w:rsidRPr="00BB7133">
      <w:rPr>
        <w:rStyle w:val="Nmerodepgina"/>
        <w:sz w:val="20"/>
        <w:szCs w:val="20"/>
        <w:lang w:val="en-US"/>
      </w:rPr>
      <w:instrText xml:space="preserve"> PAGE </w:instrText>
    </w:r>
    <w:r w:rsidR="001A44FD" w:rsidRPr="001A44FD">
      <w:rPr>
        <w:rStyle w:val="Nmerodepgina"/>
        <w:sz w:val="20"/>
        <w:szCs w:val="20"/>
      </w:rPr>
      <w:fldChar w:fldCharType="separate"/>
    </w:r>
    <w:r w:rsidRPr="00AB613C">
      <w:rPr>
        <w:rStyle w:val="Nmerodepgina"/>
        <w:noProof/>
        <w:sz w:val="20"/>
        <w:szCs w:val="20"/>
        <w:lang w:val="en-US"/>
      </w:rPr>
      <w:t>11</w:t>
    </w:r>
    <w:r w:rsidR="001A44FD" w:rsidRPr="001A44FD">
      <w:rPr>
        <w:rStyle w:val="Nmerodepgina"/>
        <w:sz w:val="20"/>
        <w:szCs w:val="20"/>
      </w:rPr>
      <w:fldChar w:fldCharType="end"/>
    </w:r>
    <w:r w:rsidRPr="008A74F8">
      <w:rPr>
        <w:rStyle w:val="Nmerodepgina"/>
        <w:sz w:val="20"/>
        <w:szCs w:val="20"/>
        <w:lang w:val="en-US"/>
      </w:rPr>
      <w:t xml:space="preserve"> of </w:t>
    </w:r>
    <w:r w:rsidR="006E1A9C" w:rsidRPr="008A74F8">
      <w:rPr>
        <w:rStyle w:val="Nmerodepgina"/>
        <w:sz w:val="20"/>
        <w:szCs w:val="20"/>
        <w:lang w:val="en-US"/>
      </w:rPr>
      <w:t>1</w:t>
    </w:r>
    <w:r w:rsidR="006E1A9C">
      <w:rPr>
        <w:rStyle w:val="Nmerodepgina"/>
        <w:sz w:val="20"/>
        <w:szCs w:val="20"/>
        <w:lang w:val="en-U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5A7D" w14:textId="4C629BFB" w:rsidR="00645935" w:rsidRDefault="00645935">
    <w:pPr>
      <w:pStyle w:val="Rodap"/>
    </w:pPr>
    <w:r>
      <w:rPr>
        <w:noProof/>
      </w:rPr>
      <mc:AlternateContent>
        <mc:Choice Requires="wps">
          <w:drawing>
            <wp:anchor distT="0" distB="0" distL="0" distR="0" simplePos="0" relativeHeight="251658241" behindDoc="0" locked="0" layoutInCell="1" allowOverlap="1" wp14:anchorId="7E06CDBD" wp14:editId="36F7EABB">
              <wp:simplePos x="635" y="635"/>
              <wp:positionH relativeFrom="page">
                <wp:align>left</wp:align>
              </wp:positionH>
              <wp:positionV relativeFrom="page">
                <wp:align>bottom</wp:align>
              </wp:positionV>
              <wp:extent cx="682625" cy="475615"/>
              <wp:effectExtent l="0" t="0" r="3175" b="0"/>
              <wp:wrapNone/>
              <wp:docPr id="990780350" name="Caixa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475615"/>
                      </a:xfrm>
                      <a:prstGeom prst="rect">
                        <a:avLst/>
                      </a:prstGeom>
                      <a:noFill/>
                      <a:ln>
                        <a:noFill/>
                      </a:ln>
                    </wps:spPr>
                    <wps:txbx>
                      <w:txbxContent>
                        <w:p w14:paraId="69ACEE79" w14:textId="2A45747F" w:rsidR="00645935" w:rsidRPr="00645935" w:rsidRDefault="00645935" w:rsidP="00645935">
                          <w:pPr>
                            <w:rPr>
                              <w:rFonts w:ascii="Trebuchet MS" w:eastAsia="Trebuchet MS" w:hAnsi="Trebuchet MS" w:cs="Trebuchet MS"/>
                              <w:noProof/>
                              <w:color w:val="737373"/>
                              <w:sz w:val="18"/>
                              <w:szCs w:val="18"/>
                            </w:rPr>
                          </w:pPr>
                          <w:r w:rsidRPr="00645935">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06CDBD" id="_x0000_t202" coordsize="21600,21600" o:spt="202" path="m,l,21600r21600,l21600,xe">
              <v:stroke joinstyle="miter"/>
              <v:path gradientshapeok="t" o:connecttype="rect"/>
            </v:shapetype>
            <v:shape id="Caixa de Texto 1" o:spid="_x0000_s1028" type="#_x0000_t202" alt="PÚBLICA" style="position:absolute;margin-left:0;margin-top:0;width:53.75pt;height:37.4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" filled="f" stroked="f">
              <v:textbox style="mso-fit-shape-to-text:t" inset="20pt,0,0,15pt">
                <w:txbxContent>
                  <w:p w14:paraId="69ACEE79" w14:textId="2A45747F" w:rsidR="00645935" w:rsidRPr="00645935" w:rsidRDefault="00645935" w:rsidP="00645935">
                    <w:pPr>
                      <w:rPr>
                        <w:rFonts w:ascii="Trebuchet MS" w:eastAsia="Trebuchet MS" w:hAnsi="Trebuchet MS" w:cs="Trebuchet MS"/>
                        <w:noProof/>
                        <w:color w:val="737373"/>
                        <w:sz w:val="18"/>
                        <w:szCs w:val="18"/>
                      </w:rPr>
                    </w:pPr>
                    <w:r w:rsidRPr="00645935">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4C9A9" w14:textId="77777777" w:rsidR="00D57FB4" w:rsidRDefault="00D57FB4">
      <w:r>
        <w:separator/>
      </w:r>
    </w:p>
  </w:footnote>
  <w:footnote w:type="continuationSeparator" w:id="0">
    <w:p w14:paraId="55F4475D" w14:textId="77777777" w:rsidR="00D57FB4" w:rsidRDefault="00D57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7558" w14:textId="028C8AFE" w:rsidR="004519A3" w:rsidRPr="0087208D" w:rsidRDefault="00BB2427" w:rsidP="004519A3">
    <w:pPr>
      <w:pStyle w:val="Cabealho"/>
      <w:spacing w:before="0"/>
      <w:jc w:val="right"/>
      <w:rPr>
        <w:rFonts w:cs="Arial"/>
        <w:b/>
        <w:sz w:val="18"/>
        <w:szCs w:val="18"/>
      </w:rPr>
    </w:pPr>
    <w:bookmarkStart w:id="53" w:name="_Hlk66956514"/>
    <w:bookmarkStart w:id="54" w:name="_Hlk66956515"/>
    <w:r>
      <w:rPr>
        <w:noProof/>
      </w:rPr>
      <w:drawing>
        <wp:anchor distT="0" distB="0" distL="114300" distR="114300" simplePos="0" relativeHeight="251658240" behindDoc="0" locked="0" layoutInCell="1" allowOverlap="1" wp14:anchorId="498E73A2" wp14:editId="26075675">
          <wp:simplePos x="0" y="0"/>
          <wp:positionH relativeFrom="column">
            <wp:posOffset>116840</wp:posOffset>
          </wp:positionH>
          <wp:positionV relativeFrom="page">
            <wp:posOffset>387350</wp:posOffset>
          </wp:positionV>
          <wp:extent cx="1848485" cy="35750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56C64" w14:textId="77777777" w:rsidR="004519A3" w:rsidRPr="00F967CD" w:rsidRDefault="004519A3" w:rsidP="004519A3">
    <w:pPr>
      <w:pStyle w:val="Cabealho"/>
      <w:spacing w:before="0"/>
      <w:jc w:val="right"/>
      <w:rPr>
        <w:rFonts w:cs="Arial"/>
        <w:b/>
        <w:sz w:val="18"/>
        <w:szCs w:val="18"/>
        <w:lang w:val="en-US"/>
      </w:rPr>
    </w:pPr>
    <w:r w:rsidRPr="00F967CD">
      <w:rPr>
        <w:rFonts w:cs="Arial"/>
        <w:b/>
        <w:sz w:val="18"/>
        <w:szCs w:val="18"/>
        <w:lang w:val="en-US"/>
      </w:rPr>
      <w:t xml:space="preserve">AGREEMENT Nº: </w:t>
    </w:r>
    <w:proofErr w:type="spellStart"/>
    <w:proofErr w:type="gramStart"/>
    <w:r w:rsidRPr="00F967CD">
      <w:rPr>
        <w:rFonts w:cs="Arial"/>
        <w:b/>
        <w:sz w:val="18"/>
        <w:szCs w:val="18"/>
        <w:lang w:val="en-US"/>
      </w:rPr>
      <w:t>xxxx.xxxxxxx</w:t>
    </w:r>
    <w:proofErr w:type="gramEnd"/>
    <w:r w:rsidRPr="00F967CD">
      <w:rPr>
        <w:rFonts w:cs="Arial"/>
        <w:b/>
        <w:sz w:val="18"/>
        <w:szCs w:val="18"/>
        <w:lang w:val="en-US"/>
      </w:rPr>
      <w:t>.xx.x</w:t>
    </w:r>
    <w:proofErr w:type="spellEnd"/>
  </w:p>
  <w:p w14:paraId="741BF8DF" w14:textId="77777777" w:rsidR="004519A3" w:rsidRPr="00F967CD" w:rsidRDefault="004519A3" w:rsidP="004519A3">
    <w:pPr>
      <w:pStyle w:val="Cabealho"/>
      <w:spacing w:before="0"/>
      <w:jc w:val="right"/>
      <w:rPr>
        <w:rFonts w:cs="Arial"/>
        <w:sz w:val="18"/>
        <w:szCs w:val="18"/>
        <w:lang w:val="en-US"/>
      </w:rPr>
    </w:pPr>
  </w:p>
  <w:bookmarkEnd w:id="53"/>
  <w:bookmarkEnd w:id="54"/>
  <w:p w14:paraId="70277AEF" w14:textId="77777777" w:rsidR="004519A3" w:rsidRPr="00F967CD" w:rsidRDefault="004519A3" w:rsidP="004519A3">
    <w:pPr>
      <w:pStyle w:val="Cabealho"/>
      <w:spacing w:before="0"/>
      <w:jc w:val="right"/>
      <w:rPr>
        <w:rFonts w:cs="Arial"/>
        <w:sz w:val="18"/>
        <w:szCs w:val="18"/>
        <w:lang w:val="en-US"/>
      </w:rPr>
    </w:pPr>
  </w:p>
  <w:p w14:paraId="35A4050E" w14:textId="77777777" w:rsidR="00665FA5" w:rsidRPr="004519A3" w:rsidRDefault="00665FA5" w:rsidP="004519A3">
    <w:pPr>
      <w:pStyle w:val="Cabealho"/>
      <w:spacing w:befor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32.85pt;height:118pt" o:bullet="t">
        <v:imagedata r:id="rId1" o:title="MCj04325410000[1]"/>
      </v:shape>
    </w:pict>
  </w:numPicBullet>
  <w:abstractNum w:abstractNumId="0" w15:restartNumberingAfterBreak="0">
    <w:nsid w:val="0703394D"/>
    <w:multiLevelType w:val="hybridMultilevel"/>
    <w:tmpl w:val="08BA3468"/>
    <w:lvl w:ilvl="0" w:tplc="DB7A6840">
      <w:start w:val="1"/>
      <w:numFmt w:val="bullet"/>
      <w:lvlText w:val=""/>
      <w:lvlPicBulletId w:val="0"/>
      <w:lvlJc w:val="left"/>
      <w:pPr>
        <w:tabs>
          <w:tab w:val="num" w:pos="720"/>
        </w:tabs>
        <w:ind w:left="720" w:hanging="360"/>
      </w:pPr>
      <w:rPr>
        <w:rFonts w:ascii="Symbol" w:hAnsi="Symbol" w:hint="default"/>
      </w:rPr>
    </w:lvl>
    <w:lvl w:ilvl="1" w:tplc="BCEADA36" w:tentative="1">
      <w:start w:val="1"/>
      <w:numFmt w:val="bullet"/>
      <w:lvlText w:val=""/>
      <w:lvlJc w:val="left"/>
      <w:pPr>
        <w:tabs>
          <w:tab w:val="num" w:pos="1440"/>
        </w:tabs>
        <w:ind w:left="1440" w:hanging="360"/>
      </w:pPr>
      <w:rPr>
        <w:rFonts w:ascii="Symbol" w:hAnsi="Symbol" w:hint="default"/>
      </w:rPr>
    </w:lvl>
    <w:lvl w:ilvl="2" w:tplc="D2082DF6" w:tentative="1">
      <w:start w:val="1"/>
      <w:numFmt w:val="bullet"/>
      <w:lvlText w:val=""/>
      <w:lvlJc w:val="left"/>
      <w:pPr>
        <w:tabs>
          <w:tab w:val="num" w:pos="2160"/>
        </w:tabs>
        <w:ind w:left="2160" w:hanging="360"/>
      </w:pPr>
      <w:rPr>
        <w:rFonts w:ascii="Symbol" w:hAnsi="Symbol" w:hint="default"/>
      </w:rPr>
    </w:lvl>
    <w:lvl w:ilvl="3" w:tplc="B9FEC0C4" w:tentative="1">
      <w:start w:val="1"/>
      <w:numFmt w:val="bullet"/>
      <w:lvlText w:val=""/>
      <w:lvlJc w:val="left"/>
      <w:pPr>
        <w:tabs>
          <w:tab w:val="num" w:pos="2880"/>
        </w:tabs>
        <w:ind w:left="2880" w:hanging="360"/>
      </w:pPr>
      <w:rPr>
        <w:rFonts w:ascii="Symbol" w:hAnsi="Symbol" w:hint="default"/>
      </w:rPr>
    </w:lvl>
    <w:lvl w:ilvl="4" w:tplc="BECE8A1A" w:tentative="1">
      <w:start w:val="1"/>
      <w:numFmt w:val="bullet"/>
      <w:lvlText w:val=""/>
      <w:lvlJc w:val="left"/>
      <w:pPr>
        <w:tabs>
          <w:tab w:val="num" w:pos="3600"/>
        </w:tabs>
        <w:ind w:left="3600" w:hanging="360"/>
      </w:pPr>
      <w:rPr>
        <w:rFonts w:ascii="Symbol" w:hAnsi="Symbol" w:hint="default"/>
      </w:rPr>
    </w:lvl>
    <w:lvl w:ilvl="5" w:tplc="A8AA18F8" w:tentative="1">
      <w:start w:val="1"/>
      <w:numFmt w:val="bullet"/>
      <w:lvlText w:val=""/>
      <w:lvlJc w:val="left"/>
      <w:pPr>
        <w:tabs>
          <w:tab w:val="num" w:pos="4320"/>
        </w:tabs>
        <w:ind w:left="4320" w:hanging="360"/>
      </w:pPr>
      <w:rPr>
        <w:rFonts w:ascii="Symbol" w:hAnsi="Symbol" w:hint="default"/>
      </w:rPr>
    </w:lvl>
    <w:lvl w:ilvl="6" w:tplc="2620DD5A" w:tentative="1">
      <w:start w:val="1"/>
      <w:numFmt w:val="bullet"/>
      <w:lvlText w:val=""/>
      <w:lvlJc w:val="left"/>
      <w:pPr>
        <w:tabs>
          <w:tab w:val="num" w:pos="5040"/>
        </w:tabs>
        <w:ind w:left="5040" w:hanging="360"/>
      </w:pPr>
      <w:rPr>
        <w:rFonts w:ascii="Symbol" w:hAnsi="Symbol" w:hint="default"/>
      </w:rPr>
    </w:lvl>
    <w:lvl w:ilvl="7" w:tplc="6D76B15E" w:tentative="1">
      <w:start w:val="1"/>
      <w:numFmt w:val="bullet"/>
      <w:lvlText w:val=""/>
      <w:lvlJc w:val="left"/>
      <w:pPr>
        <w:tabs>
          <w:tab w:val="num" w:pos="5760"/>
        </w:tabs>
        <w:ind w:left="5760" w:hanging="360"/>
      </w:pPr>
      <w:rPr>
        <w:rFonts w:ascii="Symbol" w:hAnsi="Symbol" w:hint="default"/>
      </w:rPr>
    </w:lvl>
    <w:lvl w:ilvl="8" w:tplc="FEF2333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E752CD"/>
    <w:multiLevelType w:val="hybridMultilevel"/>
    <w:tmpl w:val="A2EEF7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6F563B"/>
    <w:multiLevelType w:val="multilevel"/>
    <w:tmpl w:val="AA9E02F2"/>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80"/>
        </w:tabs>
        <w:ind w:left="1080" w:hanging="540"/>
      </w:pPr>
      <w:rPr>
        <w:rFonts w:cs="Times New Roman" w:hint="default"/>
      </w:rPr>
    </w:lvl>
    <w:lvl w:ilvl="2">
      <w:start w:val="4"/>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3" w15:restartNumberingAfterBreak="0">
    <w:nsid w:val="169E6329"/>
    <w:multiLevelType w:val="hybridMultilevel"/>
    <w:tmpl w:val="C988F1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CE7EBA"/>
    <w:multiLevelType w:val="hybridMultilevel"/>
    <w:tmpl w:val="0CBCFE90"/>
    <w:lvl w:ilvl="0" w:tplc="8E0846EC">
      <w:start w:val="1"/>
      <w:numFmt w:val="decimal"/>
      <w:lvlText w:val="(%1)"/>
      <w:lvlJc w:val="left"/>
      <w:pPr>
        <w:tabs>
          <w:tab w:val="num" w:pos="720"/>
        </w:tabs>
        <w:ind w:left="720" w:hanging="36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7D039D4"/>
    <w:multiLevelType w:val="multilevel"/>
    <w:tmpl w:val="7D6C0B4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21561A"/>
    <w:multiLevelType w:val="hybridMultilevel"/>
    <w:tmpl w:val="8CB45958"/>
    <w:lvl w:ilvl="0" w:tplc="37E4AC40">
      <w:start w:val="1"/>
      <w:numFmt w:val="decimal"/>
      <w:lvlText w:val="%1"/>
      <w:lvlJc w:val="left"/>
      <w:pPr>
        <w:tabs>
          <w:tab w:val="num" w:pos="2055"/>
        </w:tabs>
        <w:ind w:left="2055" w:hanging="169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20A76FEE"/>
    <w:multiLevelType w:val="multilevel"/>
    <w:tmpl w:val="B7023D0E"/>
    <w:lvl w:ilvl="0">
      <w:start w:val="3"/>
      <w:numFmt w:val="decimal"/>
      <w:lvlText w:val="%1"/>
      <w:lvlJc w:val="left"/>
      <w:pPr>
        <w:tabs>
          <w:tab w:val="num" w:pos="1068"/>
        </w:tabs>
        <w:ind w:left="1068" w:hanging="360"/>
      </w:pPr>
      <w:rPr>
        <w:rFonts w:cs="Times New Roman" w:hint="default"/>
      </w:rPr>
    </w:lvl>
    <w:lvl w:ilvl="1">
      <w:start w:val="1"/>
      <w:numFmt w:val="decimal"/>
      <w:lvlText w:val="%1.%2"/>
      <w:lvlJc w:val="left"/>
      <w:pPr>
        <w:tabs>
          <w:tab w:val="num" w:pos="1608"/>
        </w:tabs>
        <w:ind w:left="1608" w:hanging="360"/>
      </w:pPr>
      <w:rPr>
        <w:rFonts w:cs="Times New Roman" w:hint="default"/>
      </w:rPr>
    </w:lvl>
    <w:lvl w:ilvl="2">
      <w:start w:val="1"/>
      <w:numFmt w:val="decimal"/>
      <w:lvlText w:val="%1.%2.%3"/>
      <w:lvlJc w:val="left"/>
      <w:pPr>
        <w:tabs>
          <w:tab w:val="num" w:pos="2508"/>
        </w:tabs>
        <w:ind w:left="2508" w:hanging="720"/>
      </w:pPr>
      <w:rPr>
        <w:rFonts w:cs="Times New Roman" w:hint="default"/>
      </w:rPr>
    </w:lvl>
    <w:lvl w:ilvl="3">
      <w:start w:val="1"/>
      <w:numFmt w:val="decimal"/>
      <w:lvlText w:val="%1.%2.%3.%4"/>
      <w:lvlJc w:val="left"/>
      <w:pPr>
        <w:tabs>
          <w:tab w:val="num" w:pos="3408"/>
        </w:tabs>
        <w:ind w:left="3408" w:hanging="1080"/>
      </w:pPr>
      <w:rPr>
        <w:rFonts w:cs="Times New Roman" w:hint="default"/>
      </w:rPr>
    </w:lvl>
    <w:lvl w:ilvl="4">
      <w:start w:val="1"/>
      <w:numFmt w:val="decimal"/>
      <w:lvlText w:val="%1.%2.%3.%4.%5"/>
      <w:lvlJc w:val="left"/>
      <w:pPr>
        <w:tabs>
          <w:tab w:val="num" w:pos="3948"/>
        </w:tabs>
        <w:ind w:left="3948" w:hanging="1080"/>
      </w:pPr>
      <w:rPr>
        <w:rFonts w:cs="Times New Roman" w:hint="default"/>
      </w:rPr>
    </w:lvl>
    <w:lvl w:ilvl="5">
      <w:start w:val="1"/>
      <w:numFmt w:val="decimal"/>
      <w:lvlText w:val="%1.%2.%3.%4.%5.%6"/>
      <w:lvlJc w:val="left"/>
      <w:pPr>
        <w:tabs>
          <w:tab w:val="num" w:pos="4848"/>
        </w:tabs>
        <w:ind w:left="4848" w:hanging="1440"/>
      </w:pPr>
      <w:rPr>
        <w:rFonts w:cs="Times New Roman" w:hint="default"/>
      </w:rPr>
    </w:lvl>
    <w:lvl w:ilvl="6">
      <w:start w:val="1"/>
      <w:numFmt w:val="decimal"/>
      <w:lvlText w:val="%1.%2.%3.%4.%5.%6.%7"/>
      <w:lvlJc w:val="left"/>
      <w:pPr>
        <w:tabs>
          <w:tab w:val="num" w:pos="5388"/>
        </w:tabs>
        <w:ind w:left="5388" w:hanging="1440"/>
      </w:pPr>
      <w:rPr>
        <w:rFonts w:cs="Times New Roman" w:hint="default"/>
      </w:rPr>
    </w:lvl>
    <w:lvl w:ilvl="7">
      <w:start w:val="1"/>
      <w:numFmt w:val="decimal"/>
      <w:lvlText w:val="%1.%2.%3.%4.%5.%6.%7.%8"/>
      <w:lvlJc w:val="left"/>
      <w:pPr>
        <w:tabs>
          <w:tab w:val="num" w:pos="6288"/>
        </w:tabs>
        <w:ind w:left="6288" w:hanging="1800"/>
      </w:pPr>
      <w:rPr>
        <w:rFonts w:cs="Times New Roman" w:hint="default"/>
      </w:rPr>
    </w:lvl>
    <w:lvl w:ilvl="8">
      <w:start w:val="1"/>
      <w:numFmt w:val="decimal"/>
      <w:lvlText w:val="%1.%2.%3.%4.%5.%6.%7.%8.%9"/>
      <w:lvlJc w:val="left"/>
      <w:pPr>
        <w:tabs>
          <w:tab w:val="num" w:pos="6828"/>
        </w:tabs>
        <w:ind w:left="6828" w:hanging="1800"/>
      </w:pPr>
      <w:rPr>
        <w:rFonts w:cs="Times New Roman" w:hint="default"/>
      </w:rPr>
    </w:lvl>
  </w:abstractNum>
  <w:abstractNum w:abstractNumId="8" w15:restartNumberingAfterBreak="0">
    <w:nsid w:val="28AC11F8"/>
    <w:multiLevelType w:val="multilevel"/>
    <w:tmpl w:val="1E84F46C"/>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lowerLetter"/>
      <w:lvlText w:val="%6)"/>
      <w:lvlJc w:val="left"/>
      <w:pPr>
        <w:tabs>
          <w:tab w:val="num" w:pos="1440"/>
        </w:tabs>
        <w:ind w:left="1440" w:hanging="1440"/>
      </w:pPr>
      <w:rPr>
        <w:rFonts w:ascii="Times New Roman" w:eastAsia="Times New Roman" w:hAnsi="Times New Roman" w:cs="Times New Roman"/>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9F42F15"/>
    <w:multiLevelType w:val="multilevel"/>
    <w:tmpl w:val="016E32F8"/>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801246"/>
    <w:multiLevelType w:val="multilevel"/>
    <w:tmpl w:val="5B9CFE00"/>
    <w:lvl w:ilvl="0">
      <w:start w:val="3"/>
      <w:numFmt w:val="decimal"/>
      <w:lvlText w:val="%1"/>
      <w:lvlJc w:val="left"/>
      <w:pPr>
        <w:tabs>
          <w:tab w:val="num" w:pos="1695"/>
        </w:tabs>
        <w:ind w:left="1695" w:hanging="1695"/>
      </w:pPr>
      <w:rPr>
        <w:rFonts w:hint="default"/>
      </w:rPr>
    </w:lvl>
    <w:lvl w:ilvl="1">
      <w:start w:val="1"/>
      <w:numFmt w:val="decimal"/>
      <w:lvlText w:val="%1.%2"/>
      <w:lvlJc w:val="left"/>
      <w:pPr>
        <w:tabs>
          <w:tab w:val="num" w:pos="1695"/>
        </w:tabs>
        <w:ind w:left="1695" w:hanging="1695"/>
      </w:pPr>
      <w:rPr>
        <w:rFonts w:hint="default"/>
      </w:rPr>
    </w:lvl>
    <w:lvl w:ilvl="2">
      <w:start w:val="8"/>
      <w:numFmt w:val="decimal"/>
      <w:lvlText w:val="%1.%2.%3"/>
      <w:lvlJc w:val="left"/>
      <w:pPr>
        <w:tabs>
          <w:tab w:val="num" w:pos="1695"/>
        </w:tabs>
        <w:ind w:left="1695" w:hanging="1695"/>
      </w:pPr>
      <w:rPr>
        <w:rFonts w:hint="default"/>
      </w:rPr>
    </w:lvl>
    <w:lvl w:ilvl="3">
      <w:start w:val="4"/>
      <w:numFmt w:val="decimal"/>
      <w:lvlText w:val="%1.%2.%3.%4"/>
      <w:lvlJc w:val="left"/>
      <w:pPr>
        <w:tabs>
          <w:tab w:val="num" w:pos="1695"/>
        </w:tabs>
        <w:ind w:left="1695" w:hanging="1695"/>
      </w:pPr>
      <w:rPr>
        <w:rFonts w:hint="default"/>
      </w:rPr>
    </w:lvl>
    <w:lvl w:ilvl="4">
      <w:start w:val="3"/>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E62C44"/>
    <w:multiLevelType w:val="multilevel"/>
    <w:tmpl w:val="CC1E5A1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062C63"/>
    <w:multiLevelType w:val="multilevel"/>
    <w:tmpl w:val="8AFC5836"/>
    <w:lvl w:ilvl="0">
      <w:start w:val="1"/>
      <w:numFmt w:val="decimal"/>
      <w:lvlRestart w:val="0"/>
      <w:pStyle w:val="Ttulo1"/>
      <w:lvlText w:val="%1."/>
      <w:lvlJc w:val="left"/>
      <w:pPr>
        <w:tabs>
          <w:tab w:val="num" w:pos="0"/>
        </w:tabs>
        <w:ind w:left="0" w:firstLine="0"/>
      </w:pPr>
      <w:rPr>
        <w:rFonts w:ascii="Arial" w:eastAsia="Times New Roman" w:hAnsi="Arial" w:cs="Arial" w:hint="default"/>
      </w:rPr>
    </w:lvl>
    <w:lvl w:ilvl="1">
      <w:start w:val="1"/>
      <w:numFmt w:val="decimal"/>
      <w:pStyle w:val="Ttulo2"/>
      <w:lvlText w:val="%1.%2"/>
      <w:lvlJc w:val="left"/>
      <w:pPr>
        <w:tabs>
          <w:tab w:val="num" w:pos="0"/>
        </w:tabs>
        <w:ind w:left="0" w:firstLine="0"/>
      </w:pPr>
      <w:rPr>
        <w:rFonts w:ascii="Arial" w:eastAsia="Times New Roman" w:hAnsi="Arial" w:cs="Times New Roman"/>
      </w:rPr>
    </w:lvl>
    <w:lvl w:ilvl="2">
      <w:start w:val="1"/>
      <w:numFmt w:val="decimal"/>
      <w:pStyle w:val="texto3"/>
      <w:lvlText w:val="%1.%2.%3."/>
      <w:lvlJc w:val="left"/>
      <w:pPr>
        <w:tabs>
          <w:tab w:val="num" w:pos="0"/>
        </w:tabs>
        <w:ind w:left="0" w:firstLine="0"/>
      </w:pPr>
    </w:lvl>
    <w:lvl w:ilvl="3">
      <w:start w:val="1"/>
      <w:numFmt w:val="decimal"/>
      <w:pStyle w:val="texto4"/>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lowerLetter"/>
      <w:lvlText w:val="%6)"/>
      <w:lvlJc w:val="left"/>
      <w:pPr>
        <w:tabs>
          <w:tab w:val="num" w:pos="567"/>
        </w:tabs>
        <w:ind w:left="0" w:firstLine="0"/>
      </w:pPr>
    </w:lvl>
    <w:lvl w:ilvl="6">
      <w:start w:val="1"/>
      <w:numFmt w:val="lowerRoman"/>
      <w:lvlText w:val="%7 ."/>
      <w:lvlJc w:val="left"/>
      <w:pPr>
        <w:tabs>
          <w:tab w:val="num" w:pos="567"/>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42CA0A57"/>
    <w:multiLevelType w:val="multilevel"/>
    <w:tmpl w:val="D8A6D640"/>
    <w:lvl w:ilvl="0">
      <w:start w:val="3"/>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5"/>
      <w:numFmt w:val="decimal"/>
      <w:lvlText w:val="%1.%2.%3"/>
      <w:lvlJc w:val="left"/>
      <w:pPr>
        <w:tabs>
          <w:tab w:val="num" w:pos="735"/>
        </w:tabs>
        <w:ind w:left="735" w:hanging="735"/>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9296D3C"/>
    <w:multiLevelType w:val="multilevel"/>
    <w:tmpl w:val="3FC4C49E"/>
    <w:lvl w:ilvl="0">
      <w:start w:val="1"/>
      <w:numFmt w:val="decimal"/>
      <w:lvlRestart w:val="0"/>
      <w:lvlText w:val="%1."/>
      <w:lvlJc w:val="left"/>
      <w:pPr>
        <w:tabs>
          <w:tab w:val="num" w:pos="567"/>
        </w:tabs>
        <w:ind w:left="0" w:firstLine="0"/>
      </w:pPr>
    </w:lvl>
    <w:lvl w:ilvl="1">
      <w:start w:val="1"/>
      <w:numFmt w:val="decimal"/>
      <w:lvlText w:val="%1.%2."/>
      <w:lvlJc w:val="left"/>
      <w:pPr>
        <w:tabs>
          <w:tab w:val="num" w:pos="567"/>
        </w:tabs>
        <w:ind w:left="0" w:firstLine="0"/>
      </w:pPr>
    </w:lvl>
    <w:lvl w:ilvl="2">
      <w:start w:val="1"/>
      <w:numFmt w:val="decimal"/>
      <w:lvlText w:val="%1.%2.%3."/>
      <w:lvlJc w:val="left"/>
      <w:pPr>
        <w:tabs>
          <w:tab w:val="num" w:pos="567"/>
        </w:tabs>
        <w:ind w:left="0" w:firstLine="0"/>
      </w:pPr>
    </w:lvl>
    <w:lvl w:ilvl="3">
      <w:start w:val="1"/>
      <w:numFmt w:val="decimal"/>
      <w:lvlText w:val="%1.%2.%3.%4."/>
      <w:lvlJc w:val="left"/>
      <w:pPr>
        <w:tabs>
          <w:tab w:val="num" w:pos="567"/>
        </w:tabs>
        <w:ind w:left="0" w:firstLine="0"/>
      </w:pPr>
    </w:lvl>
    <w:lvl w:ilvl="4">
      <w:start w:val="1"/>
      <w:numFmt w:val="decimal"/>
      <w:lvlText w:val="%1.%2.%3.%4.%5."/>
      <w:lvlJc w:val="left"/>
      <w:pPr>
        <w:tabs>
          <w:tab w:val="num" w:pos="0"/>
        </w:tabs>
        <w:ind w:left="567" w:hanging="567"/>
      </w:pPr>
    </w:lvl>
    <w:lvl w:ilvl="5">
      <w:start w:val="1"/>
      <w:numFmt w:val="lowerLetter"/>
      <w:lvlText w:val="%6)"/>
      <w:lvlJc w:val="left"/>
      <w:pPr>
        <w:tabs>
          <w:tab w:val="num" w:pos="1417"/>
        </w:tabs>
        <w:ind w:left="850" w:firstLine="0"/>
      </w:pPr>
    </w:lvl>
    <w:lvl w:ilvl="6">
      <w:start w:val="1"/>
      <w:numFmt w:val="lowerRoman"/>
      <w:lvlText w:val="%7 ."/>
      <w:lvlJc w:val="left"/>
      <w:pPr>
        <w:tabs>
          <w:tab w:val="num" w:pos="1701"/>
        </w:tabs>
        <w:ind w:left="1134"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5" w15:restartNumberingAfterBreak="0">
    <w:nsid w:val="53650F63"/>
    <w:multiLevelType w:val="multilevel"/>
    <w:tmpl w:val="DD8018B2"/>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8"/>
      <w:numFmt w:val="decimal"/>
      <w:lvlText w:val="%1.%2.%3"/>
      <w:lvlJc w:val="left"/>
      <w:pPr>
        <w:tabs>
          <w:tab w:val="num" w:pos="1140"/>
        </w:tabs>
        <w:ind w:left="1140" w:hanging="1140"/>
      </w:pPr>
      <w:rPr>
        <w:rFonts w:hint="default"/>
      </w:rPr>
    </w:lvl>
    <w:lvl w:ilvl="3">
      <w:start w:val="6"/>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6D32C19"/>
    <w:multiLevelType w:val="multilevel"/>
    <w:tmpl w:val="1166BD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EB3BEF"/>
    <w:multiLevelType w:val="multilevel"/>
    <w:tmpl w:val="DB3ABB3C"/>
    <w:lvl w:ilvl="0">
      <w:start w:val="1"/>
      <w:numFmt w:val="decimal"/>
      <w:lvlText w:val="%1"/>
      <w:lvlJc w:val="left"/>
      <w:pPr>
        <w:ind w:left="1140" w:hanging="1140"/>
      </w:pPr>
      <w:rPr>
        <w:rFonts w:hint="default"/>
      </w:rPr>
    </w:lvl>
    <w:lvl w:ilvl="1">
      <w:start w:val="1"/>
      <w:numFmt w:val="decimal"/>
      <w:lvlText w:val="%1.%2"/>
      <w:lvlJc w:val="left"/>
      <w:pPr>
        <w:ind w:left="1565" w:hanging="1140"/>
      </w:pPr>
      <w:rPr>
        <w:rFonts w:hint="default"/>
      </w:rPr>
    </w:lvl>
    <w:lvl w:ilvl="2">
      <w:start w:val="1"/>
      <w:numFmt w:val="decimal"/>
      <w:lvlText w:val="%1.%2.%3"/>
      <w:lvlJc w:val="left"/>
      <w:pPr>
        <w:ind w:left="1990" w:hanging="1140"/>
      </w:pPr>
      <w:rPr>
        <w:rFonts w:hint="default"/>
      </w:rPr>
    </w:lvl>
    <w:lvl w:ilvl="3">
      <w:start w:val="1"/>
      <w:numFmt w:val="decimal"/>
      <w:lvlText w:val="%1.%2.%3.%4"/>
      <w:lvlJc w:val="left"/>
      <w:pPr>
        <w:ind w:left="2415" w:hanging="1140"/>
      </w:pPr>
      <w:rPr>
        <w:rFonts w:hint="default"/>
      </w:rPr>
    </w:lvl>
    <w:lvl w:ilvl="4">
      <w:start w:val="1"/>
      <w:numFmt w:val="decimal"/>
      <w:lvlText w:val="%1.%2.%3.%4.%5"/>
      <w:lvlJc w:val="left"/>
      <w:pPr>
        <w:ind w:left="2840" w:hanging="11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5B3B26D5"/>
    <w:multiLevelType w:val="multilevel"/>
    <w:tmpl w:val="E4F648DC"/>
    <w:lvl w:ilvl="0">
      <w:start w:val="1"/>
      <w:numFmt w:val="decimal"/>
      <w:lvlText w:val="%1"/>
      <w:lvlJc w:val="left"/>
      <w:pPr>
        <w:ind w:left="525" w:hanging="525"/>
      </w:pPr>
      <w:rPr>
        <w:rFonts w:hint="default"/>
        <w:color w:val="000000"/>
      </w:rPr>
    </w:lvl>
    <w:lvl w:ilvl="1">
      <w:start w:val="3"/>
      <w:numFmt w:val="decimal"/>
      <w:lvlText w:val="%1.%2"/>
      <w:lvlJc w:val="left"/>
      <w:pPr>
        <w:ind w:left="1092" w:hanging="525"/>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5FDF3F8F"/>
    <w:multiLevelType w:val="multilevel"/>
    <w:tmpl w:val="98380896"/>
    <w:lvl w:ilvl="0">
      <w:start w:val="13"/>
      <w:numFmt w:val="decimal"/>
      <w:lvlText w:val="%1."/>
      <w:lvlJc w:val="left"/>
      <w:pPr>
        <w:ind w:left="390" w:hanging="390"/>
      </w:pPr>
      <w:rPr>
        <w:rFonts w:eastAsiaTheme="minorEastAsia" w:hint="default"/>
      </w:rPr>
    </w:lvl>
    <w:lvl w:ilvl="1">
      <w:start w:val="1"/>
      <w:numFmt w:val="decimal"/>
      <w:lvlText w:val="%1.%2."/>
      <w:lvlJc w:val="left"/>
      <w:pPr>
        <w:ind w:left="720" w:hanging="720"/>
      </w:pPr>
      <w:rPr>
        <w:rFonts w:eastAsiaTheme="minorEastAsia" w:hint="default"/>
        <w:b w:val="0"/>
        <w:bCs/>
        <w:color w:val="auto"/>
      </w:rPr>
    </w:lvl>
    <w:lvl w:ilvl="2">
      <w:start w:val="1"/>
      <w:numFmt w:val="decimal"/>
      <w:lvlText w:val="%1.%2.%3."/>
      <w:lvlJc w:val="left"/>
      <w:pPr>
        <w:ind w:left="7241" w:hanging="720"/>
      </w:pPr>
      <w:rPr>
        <w:rFonts w:eastAsiaTheme="minorEastAsia" w:hint="default"/>
        <w:b w:val="0"/>
        <w:bCs/>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2149"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20" w15:restartNumberingAfterBreak="0">
    <w:nsid w:val="602D6080"/>
    <w:multiLevelType w:val="multilevel"/>
    <w:tmpl w:val="955EC62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1" w15:restartNumberingAfterBreak="0">
    <w:nsid w:val="61FA0564"/>
    <w:multiLevelType w:val="multilevel"/>
    <w:tmpl w:val="FFA06086"/>
    <w:lvl w:ilvl="0">
      <w:start w:val="3"/>
      <w:numFmt w:val="decimal"/>
      <w:lvlText w:val="%1"/>
      <w:lvlJc w:val="left"/>
      <w:pPr>
        <w:tabs>
          <w:tab w:val="num" w:pos="1125"/>
        </w:tabs>
        <w:ind w:left="1125" w:hanging="1125"/>
      </w:pPr>
      <w:rPr>
        <w:rFonts w:hint="default"/>
      </w:rPr>
    </w:lvl>
    <w:lvl w:ilvl="1">
      <w:start w:val="1"/>
      <w:numFmt w:val="decimal"/>
      <w:lvlText w:val="%1.%2"/>
      <w:lvlJc w:val="left"/>
      <w:pPr>
        <w:tabs>
          <w:tab w:val="num" w:pos="1125"/>
        </w:tabs>
        <w:ind w:left="1125" w:hanging="1125"/>
      </w:pPr>
      <w:rPr>
        <w:rFonts w:hint="default"/>
      </w:rPr>
    </w:lvl>
    <w:lvl w:ilvl="2">
      <w:start w:val="7"/>
      <w:numFmt w:val="decimal"/>
      <w:lvlText w:val="%1.%2.%3"/>
      <w:lvlJc w:val="left"/>
      <w:pPr>
        <w:tabs>
          <w:tab w:val="num" w:pos="1125"/>
        </w:tabs>
        <w:ind w:left="1125" w:hanging="1125"/>
      </w:pPr>
      <w:rPr>
        <w:rFonts w:hint="default"/>
      </w:rPr>
    </w:lvl>
    <w:lvl w:ilvl="3">
      <w:start w:val="7"/>
      <w:numFmt w:val="decimal"/>
      <w:lvlText w:val="%1.%2.%3.%4"/>
      <w:lvlJc w:val="left"/>
      <w:pPr>
        <w:tabs>
          <w:tab w:val="num" w:pos="1125"/>
        </w:tabs>
        <w:ind w:left="1125" w:hanging="1125"/>
      </w:pPr>
      <w:rPr>
        <w:rFonts w:hint="default"/>
      </w:rPr>
    </w:lvl>
    <w:lvl w:ilvl="4">
      <w:start w:val="3"/>
      <w:numFmt w:val="decimal"/>
      <w:lvlText w:val="%1.%2.%3.%4.%5"/>
      <w:lvlJc w:val="left"/>
      <w:pPr>
        <w:tabs>
          <w:tab w:val="num" w:pos="1125"/>
        </w:tabs>
        <w:ind w:left="1125" w:hanging="1125"/>
      </w:pPr>
      <w:rPr>
        <w:rFonts w:hint="default"/>
      </w:rPr>
    </w:lvl>
    <w:lvl w:ilvl="5">
      <w:start w:val="3"/>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2AF205B"/>
    <w:multiLevelType w:val="multilevel"/>
    <w:tmpl w:val="E62E30EE"/>
    <w:lvl w:ilvl="0">
      <w:start w:val="1"/>
      <w:numFmt w:val="decimal"/>
      <w:lvlRestart w:val="0"/>
      <w:lvlText w:val="%1."/>
      <w:lvlJc w:val="left"/>
      <w:pPr>
        <w:tabs>
          <w:tab w:val="num" w:pos="0"/>
        </w:tabs>
        <w:ind w:left="0" w:firstLine="0"/>
      </w:pPr>
      <w:rPr>
        <w:rFonts w:ascii="Arial" w:eastAsia="Times New Roman" w:hAnsi="Arial" w:cs="Arial" w:hint="default"/>
      </w:rPr>
    </w:lvl>
    <w:lvl w:ilvl="1">
      <w:start w:val="1"/>
      <w:numFmt w:val="decimal"/>
      <w:lvlText w:val="%1.%2"/>
      <w:lvlJc w:val="left"/>
      <w:pPr>
        <w:tabs>
          <w:tab w:val="num" w:pos="0"/>
        </w:tabs>
        <w:ind w:left="0" w:firstLine="0"/>
      </w:pPr>
      <w:rPr>
        <w:rFonts w:ascii="Arial" w:eastAsia="Times New Roman" w:hAnsi="Arial" w:cs="Times New Roman"/>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lowerLetter"/>
      <w:lvlText w:val="%6)"/>
      <w:lvlJc w:val="left"/>
      <w:pPr>
        <w:tabs>
          <w:tab w:val="num" w:pos="567"/>
        </w:tabs>
        <w:ind w:left="0" w:firstLine="0"/>
      </w:pPr>
    </w:lvl>
    <w:lvl w:ilvl="6">
      <w:start w:val="1"/>
      <w:numFmt w:val="lowerRoman"/>
      <w:lvlText w:val="%7 ."/>
      <w:lvlJc w:val="left"/>
      <w:pPr>
        <w:tabs>
          <w:tab w:val="num" w:pos="567"/>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3" w15:restartNumberingAfterBreak="0">
    <w:nsid w:val="6E6C644F"/>
    <w:multiLevelType w:val="multilevel"/>
    <w:tmpl w:val="D2B4004C"/>
    <w:lvl w:ilvl="0">
      <w:start w:val="3"/>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930"/>
        </w:tabs>
        <w:ind w:left="930" w:hanging="930"/>
      </w:pPr>
      <w:rPr>
        <w:rFonts w:cs="Times New Roman" w:hint="default"/>
      </w:rPr>
    </w:lvl>
    <w:lvl w:ilvl="2">
      <w:start w:val="8"/>
      <w:numFmt w:val="decimal"/>
      <w:lvlText w:val="%1.%2.%3"/>
      <w:lvlJc w:val="left"/>
      <w:pPr>
        <w:tabs>
          <w:tab w:val="num" w:pos="930"/>
        </w:tabs>
        <w:ind w:left="930" w:hanging="930"/>
      </w:pPr>
      <w:rPr>
        <w:rFonts w:cs="Times New Roman" w:hint="default"/>
      </w:rPr>
    </w:lvl>
    <w:lvl w:ilvl="3">
      <w:start w:val="7"/>
      <w:numFmt w:val="decimal"/>
      <w:lvlText w:val="%1.%2.%3.%4"/>
      <w:lvlJc w:val="left"/>
      <w:pPr>
        <w:tabs>
          <w:tab w:val="num" w:pos="1080"/>
        </w:tabs>
        <w:ind w:left="1080" w:hanging="1080"/>
      </w:pPr>
      <w:rPr>
        <w:rFonts w:cs="Times New Roman" w:hint="default"/>
      </w:rPr>
    </w:lvl>
    <w:lvl w:ilvl="4">
      <w:start w:val="4"/>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4635526"/>
    <w:multiLevelType w:val="multilevel"/>
    <w:tmpl w:val="E4F648DC"/>
    <w:lvl w:ilvl="0">
      <w:start w:val="1"/>
      <w:numFmt w:val="decimal"/>
      <w:lvlText w:val="%1"/>
      <w:lvlJc w:val="left"/>
      <w:pPr>
        <w:ind w:left="525" w:hanging="525"/>
      </w:pPr>
      <w:rPr>
        <w:rFonts w:hint="default"/>
        <w:color w:val="000000"/>
      </w:rPr>
    </w:lvl>
    <w:lvl w:ilvl="1">
      <w:start w:val="3"/>
      <w:numFmt w:val="decimal"/>
      <w:lvlText w:val="%1.%2"/>
      <w:lvlJc w:val="left"/>
      <w:pPr>
        <w:ind w:left="1092" w:hanging="525"/>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25" w15:restartNumberingAfterBreak="0">
    <w:nsid w:val="77F37C66"/>
    <w:multiLevelType w:val="hybridMultilevel"/>
    <w:tmpl w:val="D0665C9A"/>
    <w:lvl w:ilvl="0" w:tplc="97AC09EA">
      <w:start w:val="1"/>
      <w:numFmt w:val="decimal"/>
      <w:lvlText w:val="%1"/>
      <w:lvlJc w:val="left"/>
      <w:pPr>
        <w:tabs>
          <w:tab w:val="num" w:pos="2055"/>
        </w:tabs>
        <w:ind w:left="2055" w:hanging="169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7AF25A43"/>
    <w:multiLevelType w:val="multilevel"/>
    <w:tmpl w:val="E512602A"/>
    <w:lvl w:ilvl="0">
      <w:start w:val="3"/>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9"/>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B943F37"/>
    <w:multiLevelType w:val="multilevel"/>
    <w:tmpl w:val="DB70E4E0"/>
    <w:lvl w:ilvl="0">
      <w:start w:val="4"/>
      <w:numFmt w:val="decimal"/>
      <w:lvlText w:val="%1"/>
      <w:lvlJc w:val="left"/>
      <w:pPr>
        <w:tabs>
          <w:tab w:val="num" w:pos="1069"/>
        </w:tabs>
        <w:ind w:left="1069" w:hanging="360"/>
      </w:pPr>
      <w:rPr>
        <w:rFonts w:cs="Times New Roman" w:hint="default"/>
      </w:rPr>
    </w:lvl>
    <w:lvl w:ilvl="1">
      <w:start w:val="1"/>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1429"/>
        </w:tabs>
        <w:ind w:left="1429" w:hanging="720"/>
      </w:pPr>
      <w:rPr>
        <w:rFonts w:cs="Times New Roman" w:hint="default"/>
      </w:rPr>
    </w:lvl>
    <w:lvl w:ilvl="3">
      <w:start w:val="1"/>
      <w:numFmt w:val="decimal"/>
      <w:lvlText w:val="%1.%2.%3.%4"/>
      <w:lvlJc w:val="left"/>
      <w:pPr>
        <w:tabs>
          <w:tab w:val="num" w:pos="1789"/>
        </w:tabs>
        <w:ind w:left="1789" w:hanging="1080"/>
      </w:pPr>
      <w:rPr>
        <w:rFonts w:cs="Times New Roman" w:hint="default"/>
      </w:rPr>
    </w:lvl>
    <w:lvl w:ilvl="4">
      <w:start w:val="1"/>
      <w:numFmt w:val="decimal"/>
      <w:lvlText w:val="%1.%2.%3.%4.%5"/>
      <w:lvlJc w:val="left"/>
      <w:pPr>
        <w:tabs>
          <w:tab w:val="num" w:pos="1789"/>
        </w:tabs>
        <w:ind w:left="1789" w:hanging="1080"/>
      </w:pPr>
      <w:rPr>
        <w:rFonts w:cs="Times New Roman" w:hint="default"/>
      </w:rPr>
    </w:lvl>
    <w:lvl w:ilvl="5">
      <w:start w:val="1"/>
      <w:numFmt w:val="decimal"/>
      <w:lvlText w:val="%1.%2.%3.%4.%5.%6"/>
      <w:lvlJc w:val="left"/>
      <w:pPr>
        <w:tabs>
          <w:tab w:val="num" w:pos="2149"/>
        </w:tabs>
        <w:ind w:left="2149" w:hanging="1440"/>
      </w:pPr>
      <w:rPr>
        <w:rFonts w:cs="Times New Roman" w:hint="default"/>
      </w:rPr>
    </w:lvl>
    <w:lvl w:ilvl="6">
      <w:start w:val="1"/>
      <w:numFmt w:val="decimal"/>
      <w:lvlText w:val="%1.%2.%3.%4.%5.%6.%7"/>
      <w:lvlJc w:val="left"/>
      <w:pPr>
        <w:tabs>
          <w:tab w:val="num" w:pos="2149"/>
        </w:tabs>
        <w:ind w:left="2149" w:hanging="1440"/>
      </w:pPr>
      <w:rPr>
        <w:rFonts w:cs="Times New Roman" w:hint="default"/>
      </w:rPr>
    </w:lvl>
    <w:lvl w:ilvl="7">
      <w:start w:val="1"/>
      <w:numFmt w:val="decimal"/>
      <w:lvlText w:val="%1.%2.%3.%4.%5.%6.%7.%8"/>
      <w:lvlJc w:val="left"/>
      <w:pPr>
        <w:tabs>
          <w:tab w:val="num" w:pos="2509"/>
        </w:tabs>
        <w:ind w:left="2509" w:hanging="1800"/>
      </w:pPr>
      <w:rPr>
        <w:rFonts w:cs="Times New Roman" w:hint="default"/>
      </w:rPr>
    </w:lvl>
    <w:lvl w:ilvl="8">
      <w:start w:val="1"/>
      <w:numFmt w:val="decimal"/>
      <w:lvlText w:val="%1.%2.%3.%4.%5.%6.%7.%8.%9"/>
      <w:lvlJc w:val="left"/>
      <w:pPr>
        <w:tabs>
          <w:tab w:val="num" w:pos="2509"/>
        </w:tabs>
        <w:ind w:left="2509" w:hanging="1800"/>
      </w:pPr>
      <w:rPr>
        <w:rFonts w:cs="Times New Roman" w:hint="default"/>
      </w:rPr>
    </w:lvl>
  </w:abstractNum>
  <w:abstractNum w:abstractNumId="28" w15:restartNumberingAfterBreak="0">
    <w:nsid w:val="7C4D5D06"/>
    <w:multiLevelType w:val="multilevel"/>
    <w:tmpl w:val="E2B28264"/>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6"/>
      <w:numFmt w:val="decimal"/>
      <w:lvlText w:val="%1.%2.%3"/>
      <w:lvlJc w:val="left"/>
      <w:pPr>
        <w:tabs>
          <w:tab w:val="num" w:pos="735"/>
        </w:tabs>
        <w:ind w:left="735" w:hanging="735"/>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FC16BF6"/>
    <w:multiLevelType w:val="multilevel"/>
    <w:tmpl w:val="08BA3468"/>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16cid:durableId="1653027206">
    <w:abstractNumId w:val="12"/>
  </w:num>
  <w:num w:numId="2" w16cid:durableId="235943176">
    <w:abstractNumId w:val="9"/>
  </w:num>
  <w:num w:numId="3" w16cid:durableId="581915786">
    <w:abstractNumId w:val="5"/>
  </w:num>
  <w:num w:numId="4" w16cid:durableId="1861625428">
    <w:abstractNumId w:val="28"/>
  </w:num>
  <w:num w:numId="5" w16cid:durableId="260377032">
    <w:abstractNumId w:val="20"/>
  </w:num>
  <w:num w:numId="6" w16cid:durableId="1838575851">
    <w:abstractNumId w:val="7"/>
  </w:num>
  <w:num w:numId="7" w16cid:durableId="961884068">
    <w:abstractNumId w:val="13"/>
  </w:num>
  <w:num w:numId="8" w16cid:durableId="1574201432">
    <w:abstractNumId w:val="2"/>
  </w:num>
  <w:num w:numId="9" w16cid:durableId="918056147">
    <w:abstractNumId w:val="26"/>
  </w:num>
  <w:num w:numId="10" w16cid:durableId="557741636">
    <w:abstractNumId w:val="23"/>
  </w:num>
  <w:num w:numId="11" w16cid:durableId="1607033115">
    <w:abstractNumId w:val="27"/>
  </w:num>
  <w:num w:numId="12" w16cid:durableId="267928698">
    <w:abstractNumId w:val="8"/>
  </w:num>
  <w:num w:numId="13" w16cid:durableId="870804126">
    <w:abstractNumId w:val="11"/>
  </w:num>
  <w:num w:numId="14" w16cid:durableId="2050841">
    <w:abstractNumId w:val="15"/>
  </w:num>
  <w:num w:numId="15" w16cid:durableId="1114708091">
    <w:abstractNumId w:val="10"/>
  </w:num>
  <w:num w:numId="16" w16cid:durableId="1248728068">
    <w:abstractNumId w:val="16"/>
  </w:num>
  <w:num w:numId="17" w16cid:durableId="490295674">
    <w:abstractNumId w:val="25"/>
  </w:num>
  <w:num w:numId="18" w16cid:durableId="2036809119">
    <w:abstractNumId w:val="6"/>
  </w:num>
  <w:num w:numId="19" w16cid:durableId="1098865184">
    <w:abstractNumId w:val="0"/>
  </w:num>
  <w:num w:numId="20" w16cid:durableId="1121732039">
    <w:abstractNumId w:val="29"/>
  </w:num>
  <w:num w:numId="21" w16cid:durableId="959185313">
    <w:abstractNumId w:val="4"/>
  </w:num>
  <w:num w:numId="22" w16cid:durableId="554506620">
    <w:abstractNumId w:val="21"/>
  </w:num>
  <w:num w:numId="23" w16cid:durableId="1807356186">
    <w:abstractNumId w:val="3"/>
  </w:num>
  <w:num w:numId="24" w16cid:durableId="1285504552">
    <w:abstractNumId w:val="18"/>
  </w:num>
  <w:num w:numId="25" w16cid:durableId="1380667709">
    <w:abstractNumId w:val="24"/>
  </w:num>
  <w:num w:numId="26" w16cid:durableId="1468669395">
    <w:abstractNumId w:val="14"/>
  </w:num>
  <w:num w:numId="27" w16cid:durableId="1459832662">
    <w:abstractNumId w:val="1"/>
  </w:num>
  <w:num w:numId="28" w16cid:durableId="1747453008">
    <w:abstractNumId w:val="17"/>
  </w:num>
  <w:num w:numId="29" w16cid:durableId="660933798">
    <w:abstractNumId w:val="22"/>
  </w:num>
  <w:num w:numId="30" w16cid:durableId="1559587240">
    <w:abstractNumId w:val="12"/>
    <w:lvlOverride w:ilvl="0">
      <w:lvl w:ilvl="0">
        <w:start w:val="1"/>
        <w:numFmt w:val="decimal"/>
        <w:lvlRestart w:val="0"/>
        <w:pStyle w:val="Ttulo1"/>
        <w:lvlText w:val="%1."/>
        <w:lvlJc w:val="left"/>
        <w:pPr>
          <w:tabs>
            <w:tab w:val="num" w:pos="0"/>
          </w:tabs>
          <w:ind w:left="0" w:firstLine="0"/>
        </w:pPr>
        <w:rPr>
          <w:rFonts w:ascii="Arial" w:eastAsia="Times New Roman" w:hAnsi="Arial" w:cs="Arial" w:hint="default"/>
        </w:rPr>
      </w:lvl>
    </w:lvlOverride>
    <w:lvlOverride w:ilvl="1">
      <w:lvl w:ilvl="1">
        <w:start w:val="1"/>
        <w:numFmt w:val="decimal"/>
        <w:pStyle w:val="Ttulo2"/>
        <w:lvlText w:val="%1.%2"/>
        <w:lvlJc w:val="left"/>
        <w:pPr>
          <w:tabs>
            <w:tab w:val="num" w:pos="0"/>
          </w:tabs>
          <w:ind w:left="0" w:firstLine="0"/>
        </w:pPr>
        <w:rPr>
          <w:rFonts w:ascii="Arial" w:eastAsia="Times New Roman" w:hAnsi="Arial" w:cs="Times New Roman" w:hint="default"/>
        </w:rPr>
      </w:lvl>
    </w:lvlOverride>
    <w:lvlOverride w:ilvl="2">
      <w:lvl w:ilvl="2">
        <w:start w:val="1"/>
        <w:numFmt w:val="decimal"/>
        <w:pStyle w:val="texto3"/>
        <w:lvlText w:val="%1.%2.%3."/>
        <w:lvlJc w:val="left"/>
        <w:pPr>
          <w:tabs>
            <w:tab w:val="num" w:pos="0"/>
          </w:tabs>
          <w:ind w:left="0" w:firstLine="0"/>
        </w:pPr>
        <w:rPr>
          <w:rFonts w:hint="default"/>
        </w:rPr>
      </w:lvl>
    </w:lvlOverride>
    <w:lvlOverride w:ilvl="3">
      <w:lvl w:ilvl="3">
        <w:start w:val="1"/>
        <w:numFmt w:val="decimal"/>
        <w:pStyle w:val="texto4"/>
        <w:lvlText w:val="%1.%2.%3.%4."/>
        <w:lvlJc w:val="left"/>
        <w:pPr>
          <w:tabs>
            <w:tab w:val="num" w:pos="0"/>
          </w:tabs>
          <w:ind w:left="0" w:firstLine="0"/>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lowerLetter"/>
        <w:lvlText w:val="%6)"/>
        <w:lvlJc w:val="left"/>
        <w:pPr>
          <w:tabs>
            <w:tab w:val="num" w:pos="567"/>
          </w:tabs>
          <w:ind w:left="0" w:firstLine="0"/>
        </w:pPr>
        <w:rPr>
          <w:rFonts w:hint="default"/>
        </w:rPr>
      </w:lvl>
    </w:lvlOverride>
    <w:lvlOverride w:ilvl="6">
      <w:lvl w:ilvl="6">
        <w:start w:val="1"/>
        <w:numFmt w:val="lowerRoman"/>
        <w:lvlText w:val="%7 ."/>
        <w:lvlJc w:val="left"/>
        <w:pPr>
          <w:tabs>
            <w:tab w:val="num" w:pos="567"/>
          </w:tabs>
          <w:ind w:left="0" w:firstLine="0"/>
        </w:pPr>
        <w:rPr>
          <w:rFonts w:hint="default"/>
        </w:rPr>
      </w:lvl>
    </w:lvlOverride>
    <w:lvlOverride w:ilvl="7">
      <w:lvl w:ilvl="7">
        <w:start w:val="1"/>
        <w:numFmt w:val="none"/>
        <w:lvlText w:val=""/>
        <w:lvlJc w:val="left"/>
        <w:pPr>
          <w:tabs>
            <w:tab w:val="num" w:pos="0"/>
          </w:tabs>
          <w:ind w:left="0" w:firstLine="0"/>
        </w:pPr>
        <w:rPr>
          <w:rFonts w:hint="default"/>
        </w:rPr>
      </w:lvl>
    </w:lvlOverride>
    <w:lvlOverride w:ilvl="8">
      <w:lvl w:ilvl="8">
        <w:start w:val="1"/>
        <w:numFmt w:val="none"/>
        <w:lvlText w:val=""/>
        <w:lvlJc w:val="left"/>
        <w:pPr>
          <w:tabs>
            <w:tab w:val="num" w:pos="0"/>
          </w:tabs>
          <w:ind w:left="0" w:firstLine="0"/>
        </w:pPr>
        <w:rPr>
          <w:rFonts w:hint="default"/>
        </w:rPr>
      </w:lvl>
    </w:lvlOverride>
  </w:num>
  <w:num w:numId="31" w16cid:durableId="856309664">
    <w:abstractNumId w:val="12"/>
    <w:lvlOverride w:ilvl="0">
      <w:lvl w:ilvl="0">
        <w:start w:val="1"/>
        <w:numFmt w:val="decimal"/>
        <w:lvlRestart w:val="0"/>
        <w:pStyle w:val="Ttulo1"/>
        <w:lvlText w:val="%1."/>
        <w:lvlJc w:val="left"/>
        <w:pPr>
          <w:tabs>
            <w:tab w:val="num" w:pos="0"/>
          </w:tabs>
          <w:ind w:left="0" w:firstLine="0"/>
        </w:pPr>
        <w:rPr>
          <w:rFonts w:ascii="Arial" w:eastAsia="Times New Roman" w:hAnsi="Arial" w:cs="Arial" w:hint="default"/>
        </w:rPr>
      </w:lvl>
    </w:lvlOverride>
    <w:lvlOverride w:ilvl="1">
      <w:lvl w:ilvl="1">
        <w:start w:val="1"/>
        <w:numFmt w:val="decimal"/>
        <w:pStyle w:val="Ttulo2"/>
        <w:lvlText w:val="%1.%2"/>
        <w:lvlJc w:val="left"/>
        <w:pPr>
          <w:tabs>
            <w:tab w:val="num" w:pos="0"/>
          </w:tabs>
          <w:ind w:left="0" w:firstLine="0"/>
        </w:pPr>
        <w:rPr>
          <w:rFonts w:ascii="Arial" w:eastAsia="Times New Roman" w:hAnsi="Arial" w:cs="Times New Roman" w:hint="default"/>
        </w:rPr>
      </w:lvl>
    </w:lvlOverride>
    <w:lvlOverride w:ilvl="2">
      <w:lvl w:ilvl="2">
        <w:start w:val="1"/>
        <w:numFmt w:val="decimal"/>
        <w:pStyle w:val="texto3"/>
        <w:lvlText w:val="%1.%2.%3."/>
        <w:lvlJc w:val="left"/>
        <w:pPr>
          <w:tabs>
            <w:tab w:val="num" w:pos="0"/>
          </w:tabs>
          <w:ind w:left="0" w:firstLine="0"/>
        </w:pPr>
        <w:rPr>
          <w:rFonts w:hint="default"/>
        </w:rPr>
      </w:lvl>
    </w:lvlOverride>
    <w:lvlOverride w:ilvl="3">
      <w:lvl w:ilvl="3">
        <w:start w:val="1"/>
        <w:numFmt w:val="decimal"/>
        <w:pStyle w:val="texto4"/>
        <w:lvlText w:val="%1.%2.%3.%4."/>
        <w:lvlJc w:val="left"/>
        <w:pPr>
          <w:tabs>
            <w:tab w:val="num" w:pos="0"/>
          </w:tabs>
          <w:ind w:left="0" w:firstLine="0"/>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lowerLetter"/>
        <w:lvlText w:val="%6)"/>
        <w:lvlJc w:val="left"/>
        <w:pPr>
          <w:tabs>
            <w:tab w:val="num" w:pos="567"/>
          </w:tabs>
          <w:ind w:left="0" w:firstLine="0"/>
        </w:pPr>
        <w:rPr>
          <w:rFonts w:hint="default"/>
        </w:rPr>
      </w:lvl>
    </w:lvlOverride>
    <w:lvlOverride w:ilvl="6">
      <w:lvl w:ilvl="6">
        <w:start w:val="1"/>
        <w:numFmt w:val="lowerRoman"/>
        <w:lvlText w:val="%7 ."/>
        <w:lvlJc w:val="left"/>
        <w:pPr>
          <w:tabs>
            <w:tab w:val="num" w:pos="567"/>
          </w:tabs>
          <w:ind w:left="0" w:firstLine="0"/>
        </w:pPr>
        <w:rPr>
          <w:rFonts w:hint="default"/>
        </w:rPr>
      </w:lvl>
    </w:lvlOverride>
    <w:lvlOverride w:ilvl="7">
      <w:lvl w:ilvl="7">
        <w:start w:val="1"/>
        <w:numFmt w:val="none"/>
        <w:lvlText w:val=""/>
        <w:lvlJc w:val="left"/>
        <w:pPr>
          <w:tabs>
            <w:tab w:val="num" w:pos="0"/>
          </w:tabs>
          <w:ind w:left="0" w:firstLine="0"/>
        </w:pPr>
        <w:rPr>
          <w:rFonts w:hint="default"/>
        </w:rPr>
      </w:lvl>
    </w:lvlOverride>
    <w:lvlOverride w:ilvl="8">
      <w:lvl w:ilvl="8">
        <w:start w:val="1"/>
        <w:numFmt w:val="none"/>
        <w:lvlText w:val=""/>
        <w:lvlJc w:val="left"/>
        <w:pPr>
          <w:tabs>
            <w:tab w:val="num" w:pos="0"/>
          </w:tabs>
          <w:ind w:left="0" w:firstLine="0"/>
        </w:pPr>
        <w:rPr>
          <w:rFonts w:hint="default"/>
        </w:rPr>
      </w:lvl>
    </w:lvlOverride>
  </w:num>
  <w:num w:numId="32" w16cid:durableId="821385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44"/>
    <w:rsid w:val="000003AF"/>
    <w:rsid w:val="00002DD1"/>
    <w:rsid w:val="00006967"/>
    <w:rsid w:val="0001635C"/>
    <w:rsid w:val="00023FFF"/>
    <w:rsid w:val="0002485A"/>
    <w:rsid w:val="000253D1"/>
    <w:rsid w:val="0003122D"/>
    <w:rsid w:val="00046278"/>
    <w:rsid w:val="0005127D"/>
    <w:rsid w:val="00051691"/>
    <w:rsid w:val="00056D17"/>
    <w:rsid w:val="00062405"/>
    <w:rsid w:val="00065E86"/>
    <w:rsid w:val="00070CC0"/>
    <w:rsid w:val="00070F57"/>
    <w:rsid w:val="00073045"/>
    <w:rsid w:val="00075B24"/>
    <w:rsid w:val="000811A8"/>
    <w:rsid w:val="00081E33"/>
    <w:rsid w:val="00087BFB"/>
    <w:rsid w:val="00090FEE"/>
    <w:rsid w:val="000A349F"/>
    <w:rsid w:val="000B316D"/>
    <w:rsid w:val="000B34C5"/>
    <w:rsid w:val="000B3589"/>
    <w:rsid w:val="000C0818"/>
    <w:rsid w:val="000C097D"/>
    <w:rsid w:val="000D414F"/>
    <w:rsid w:val="000D561F"/>
    <w:rsid w:val="000D579F"/>
    <w:rsid w:val="000E2338"/>
    <w:rsid w:val="000F1D1D"/>
    <w:rsid w:val="000F26F9"/>
    <w:rsid w:val="000F6D38"/>
    <w:rsid w:val="00104E9D"/>
    <w:rsid w:val="00106F12"/>
    <w:rsid w:val="00107023"/>
    <w:rsid w:val="00111E38"/>
    <w:rsid w:val="001219A1"/>
    <w:rsid w:val="0012537B"/>
    <w:rsid w:val="00125E47"/>
    <w:rsid w:val="0013266C"/>
    <w:rsid w:val="00132F3E"/>
    <w:rsid w:val="001336F5"/>
    <w:rsid w:val="001346B6"/>
    <w:rsid w:val="00140CA4"/>
    <w:rsid w:val="001436BF"/>
    <w:rsid w:val="00143778"/>
    <w:rsid w:val="00145A92"/>
    <w:rsid w:val="00160158"/>
    <w:rsid w:val="00171886"/>
    <w:rsid w:val="001744F9"/>
    <w:rsid w:val="00175BA9"/>
    <w:rsid w:val="00177919"/>
    <w:rsid w:val="0018178F"/>
    <w:rsid w:val="00184744"/>
    <w:rsid w:val="00184D70"/>
    <w:rsid w:val="001919A7"/>
    <w:rsid w:val="00194521"/>
    <w:rsid w:val="00196F2F"/>
    <w:rsid w:val="001972A8"/>
    <w:rsid w:val="001A3A65"/>
    <w:rsid w:val="001A44FD"/>
    <w:rsid w:val="001B1E40"/>
    <w:rsid w:val="001B2891"/>
    <w:rsid w:val="001B79EC"/>
    <w:rsid w:val="001C501C"/>
    <w:rsid w:val="001C6596"/>
    <w:rsid w:val="001E5A3E"/>
    <w:rsid w:val="001E7916"/>
    <w:rsid w:val="001F704A"/>
    <w:rsid w:val="001F7AF5"/>
    <w:rsid w:val="00207F05"/>
    <w:rsid w:val="00214CCF"/>
    <w:rsid w:val="00214D53"/>
    <w:rsid w:val="00226C61"/>
    <w:rsid w:val="00240A4F"/>
    <w:rsid w:val="00243B22"/>
    <w:rsid w:val="00247549"/>
    <w:rsid w:val="0025617E"/>
    <w:rsid w:val="00266BC4"/>
    <w:rsid w:val="00272391"/>
    <w:rsid w:val="0028019A"/>
    <w:rsid w:val="002A3E26"/>
    <w:rsid w:val="002A5EE9"/>
    <w:rsid w:val="002B0856"/>
    <w:rsid w:val="002B7942"/>
    <w:rsid w:val="002D67AA"/>
    <w:rsid w:val="002E01AD"/>
    <w:rsid w:val="002E39B4"/>
    <w:rsid w:val="002E561B"/>
    <w:rsid w:val="002E787B"/>
    <w:rsid w:val="002F529E"/>
    <w:rsid w:val="0030045A"/>
    <w:rsid w:val="00316275"/>
    <w:rsid w:val="00316462"/>
    <w:rsid w:val="0032588A"/>
    <w:rsid w:val="003373EF"/>
    <w:rsid w:val="00337C39"/>
    <w:rsid w:val="00340D0D"/>
    <w:rsid w:val="00347FC3"/>
    <w:rsid w:val="00350F90"/>
    <w:rsid w:val="0036710B"/>
    <w:rsid w:val="003678C0"/>
    <w:rsid w:val="003819BC"/>
    <w:rsid w:val="00382487"/>
    <w:rsid w:val="00385B28"/>
    <w:rsid w:val="003923AB"/>
    <w:rsid w:val="00394378"/>
    <w:rsid w:val="003A013D"/>
    <w:rsid w:val="003A0457"/>
    <w:rsid w:val="003A0C7D"/>
    <w:rsid w:val="003A1EFD"/>
    <w:rsid w:val="003A6361"/>
    <w:rsid w:val="003B1E8F"/>
    <w:rsid w:val="003B410E"/>
    <w:rsid w:val="003C0285"/>
    <w:rsid w:val="003D0D9C"/>
    <w:rsid w:val="003D1A81"/>
    <w:rsid w:val="003D4A88"/>
    <w:rsid w:val="003D6F76"/>
    <w:rsid w:val="003E0D94"/>
    <w:rsid w:val="003E5B44"/>
    <w:rsid w:val="003E634E"/>
    <w:rsid w:val="003E7C4A"/>
    <w:rsid w:val="003F14EC"/>
    <w:rsid w:val="003F5FDA"/>
    <w:rsid w:val="003F640F"/>
    <w:rsid w:val="00400C16"/>
    <w:rsid w:val="00401F47"/>
    <w:rsid w:val="00402CDC"/>
    <w:rsid w:val="00403758"/>
    <w:rsid w:val="00404BA3"/>
    <w:rsid w:val="00407C3E"/>
    <w:rsid w:val="00414BB4"/>
    <w:rsid w:val="004166D7"/>
    <w:rsid w:val="00423983"/>
    <w:rsid w:val="004272EB"/>
    <w:rsid w:val="00436163"/>
    <w:rsid w:val="004365FB"/>
    <w:rsid w:val="0044363C"/>
    <w:rsid w:val="00446204"/>
    <w:rsid w:val="004519A3"/>
    <w:rsid w:val="00453D33"/>
    <w:rsid w:val="00454100"/>
    <w:rsid w:val="00454A84"/>
    <w:rsid w:val="00456DA9"/>
    <w:rsid w:val="00457AD7"/>
    <w:rsid w:val="00464D7E"/>
    <w:rsid w:val="00466DF9"/>
    <w:rsid w:val="00467E18"/>
    <w:rsid w:val="00471BC0"/>
    <w:rsid w:val="00472038"/>
    <w:rsid w:val="00475333"/>
    <w:rsid w:val="004755DA"/>
    <w:rsid w:val="004858A8"/>
    <w:rsid w:val="00490C6E"/>
    <w:rsid w:val="004A0227"/>
    <w:rsid w:val="004A7EBA"/>
    <w:rsid w:val="004C3C11"/>
    <w:rsid w:val="004D3C2B"/>
    <w:rsid w:val="004D76C8"/>
    <w:rsid w:val="004E39EA"/>
    <w:rsid w:val="004E5B8B"/>
    <w:rsid w:val="004F093A"/>
    <w:rsid w:val="004F1C01"/>
    <w:rsid w:val="004F4FD1"/>
    <w:rsid w:val="004F54A2"/>
    <w:rsid w:val="00501524"/>
    <w:rsid w:val="00506948"/>
    <w:rsid w:val="00507D55"/>
    <w:rsid w:val="00520053"/>
    <w:rsid w:val="0052266A"/>
    <w:rsid w:val="00526D39"/>
    <w:rsid w:val="0053031C"/>
    <w:rsid w:val="0054377A"/>
    <w:rsid w:val="00551392"/>
    <w:rsid w:val="00554C2E"/>
    <w:rsid w:val="00556A5F"/>
    <w:rsid w:val="005629F3"/>
    <w:rsid w:val="0057233C"/>
    <w:rsid w:val="00576734"/>
    <w:rsid w:val="00576FAA"/>
    <w:rsid w:val="00577F15"/>
    <w:rsid w:val="0058084B"/>
    <w:rsid w:val="0058453E"/>
    <w:rsid w:val="0058715A"/>
    <w:rsid w:val="005914CA"/>
    <w:rsid w:val="005A690A"/>
    <w:rsid w:val="005A77AE"/>
    <w:rsid w:val="005B0385"/>
    <w:rsid w:val="005B0698"/>
    <w:rsid w:val="005B2B14"/>
    <w:rsid w:val="005B40D0"/>
    <w:rsid w:val="005B69C1"/>
    <w:rsid w:val="005C692C"/>
    <w:rsid w:val="005C74A6"/>
    <w:rsid w:val="005D466F"/>
    <w:rsid w:val="005F06AC"/>
    <w:rsid w:val="005F1700"/>
    <w:rsid w:val="00600949"/>
    <w:rsid w:val="00605061"/>
    <w:rsid w:val="00611B76"/>
    <w:rsid w:val="00612276"/>
    <w:rsid w:val="0061385D"/>
    <w:rsid w:val="00633FBF"/>
    <w:rsid w:val="00643946"/>
    <w:rsid w:val="00643C99"/>
    <w:rsid w:val="00645935"/>
    <w:rsid w:val="00645BD3"/>
    <w:rsid w:val="00650F9D"/>
    <w:rsid w:val="006615D0"/>
    <w:rsid w:val="0066170E"/>
    <w:rsid w:val="00662CBB"/>
    <w:rsid w:val="00663B7B"/>
    <w:rsid w:val="00664005"/>
    <w:rsid w:val="00665FA5"/>
    <w:rsid w:val="006746ED"/>
    <w:rsid w:val="00683FB8"/>
    <w:rsid w:val="0068631F"/>
    <w:rsid w:val="006940F9"/>
    <w:rsid w:val="006A7585"/>
    <w:rsid w:val="006B0A5F"/>
    <w:rsid w:val="006B1291"/>
    <w:rsid w:val="006B14FA"/>
    <w:rsid w:val="006C1B55"/>
    <w:rsid w:val="006C41E7"/>
    <w:rsid w:val="006C6741"/>
    <w:rsid w:val="006C6CFA"/>
    <w:rsid w:val="006C7D13"/>
    <w:rsid w:val="006C7FE6"/>
    <w:rsid w:val="006D0B37"/>
    <w:rsid w:val="006D5DE6"/>
    <w:rsid w:val="006E1A9C"/>
    <w:rsid w:val="006E4468"/>
    <w:rsid w:val="006E44FC"/>
    <w:rsid w:val="006E4678"/>
    <w:rsid w:val="006E6D52"/>
    <w:rsid w:val="006E6EB9"/>
    <w:rsid w:val="006F25B9"/>
    <w:rsid w:val="006F364D"/>
    <w:rsid w:val="006F3BD8"/>
    <w:rsid w:val="00711F01"/>
    <w:rsid w:val="007155F0"/>
    <w:rsid w:val="00721C11"/>
    <w:rsid w:val="0072318F"/>
    <w:rsid w:val="007402FD"/>
    <w:rsid w:val="00742E71"/>
    <w:rsid w:val="00744006"/>
    <w:rsid w:val="00755125"/>
    <w:rsid w:val="007554A7"/>
    <w:rsid w:val="0075634A"/>
    <w:rsid w:val="007632EC"/>
    <w:rsid w:val="00766F53"/>
    <w:rsid w:val="0076745E"/>
    <w:rsid w:val="00771B41"/>
    <w:rsid w:val="00775A3F"/>
    <w:rsid w:val="00781257"/>
    <w:rsid w:val="00781552"/>
    <w:rsid w:val="0079153F"/>
    <w:rsid w:val="00793826"/>
    <w:rsid w:val="00797962"/>
    <w:rsid w:val="007A0111"/>
    <w:rsid w:val="007B4F34"/>
    <w:rsid w:val="007C4BD1"/>
    <w:rsid w:val="007C7D81"/>
    <w:rsid w:val="007D6B8B"/>
    <w:rsid w:val="007E3172"/>
    <w:rsid w:val="007F2120"/>
    <w:rsid w:val="007F390E"/>
    <w:rsid w:val="007F5902"/>
    <w:rsid w:val="00815281"/>
    <w:rsid w:val="008401AD"/>
    <w:rsid w:val="008425A3"/>
    <w:rsid w:val="008440B5"/>
    <w:rsid w:val="008443ED"/>
    <w:rsid w:val="00847452"/>
    <w:rsid w:val="00847C94"/>
    <w:rsid w:val="00853A46"/>
    <w:rsid w:val="00854D35"/>
    <w:rsid w:val="008567CA"/>
    <w:rsid w:val="00856984"/>
    <w:rsid w:val="00860507"/>
    <w:rsid w:val="00865603"/>
    <w:rsid w:val="00890632"/>
    <w:rsid w:val="008A0548"/>
    <w:rsid w:val="008A084F"/>
    <w:rsid w:val="008A74F8"/>
    <w:rsid w:val="008B739A"/>
    <w:rsid w:val="008C2346"/>
    <w:rsid w:val="008C28EB"/>
    <w:rsid w:val="008C75F8"/>
    <w:rsid w:val="008D1A52"/>
    <w:rsid w:val="008D2764"/>
    <w:rsid w:val="008E4875"/>
    <w:rsid w:val="008F3B4D"/>
    <w:rsid w:val="008F6B92"/>
    <w:rsid w:val="00900D24"/>
    <w:rsid w:val="009137E5"/>
    <w:rsid w:val="009146D5"/>
    <w:rsid w:val="009173E8"/>
    <w:rsid w:val="009179FA"/>
    <w:rsid w:val="00921150"/>
    <w:rsid w:val="00923176"/>
    <w:rsid w:val="00934EBC"/>
    <w:rsid w:val="00936760"/>
    <w:rsid w:val="00947B00"/>
    <w:rsid w:val="00952850"/>
    <w:rsid w:val="009646A9"/>
    <w:rsid w:val="00967894"/>
    <w:rsid w:val="0097385B"/>
    <w:rsid w:val="00975BF5"/>
    <w:rsid w:val="00980BC3"/>
    <w:rsid w:val="00981D10"/>
    <w:rsid w:val="009845CC"/>
    <w:rsid w:val="00986B31"/>
    <w:rsid w:val="0099099C"/>
    <w:rsid w:val="00997C45"/>
    <w:rsid w:val="009A029E"/>
    <w:rsid w:val="009A1243"/>
    <w:rsid w:val="009A15BF"/>
    <w:rsid w:val="009B3CCA"/>
    <w:rsid w:val="009B5562"/>
    <w:rsid w:val="009B6166"/>
    <w:rsid w:val="009C3D7E"/>
    <w:rsid w:val="009D4800"/>
    <w:rsid w:val="009E067B"/>
    <w:rsid w:val="009F7890"/>
    <w:rsid w:val="00A02B3C"/>
    <w:rsid w:val="00A04FCC"/>
    <w:rsid w:val="00A0708D"/>
    <w:rsid w:val="00A1346E"/>
    <w:rsid w:val="00A20F37"/>
    <w:rsid w:val="00A27E86"/>
    <w:rsid w:val="00A31350"/>
    <w:rsid w:val="00A35CC0"/>
    <w:rsid w:val="00A36BA8"/>
    <w:rsid w:val="00A4357B"/>
    <w:rsid w:val="00A53E98"/>
    <w:rsid w:val="00A54E2B"/>
    <w:rsid w:val="00A55B68"/>
    <w:rsid w:val="00A71BB5"/>
    <w:rsid w:val="00A752C8"/>
    <w:rsid w:val="00A77E1E"/>
    <w:rsid w:val="00A84B09"/>
    <w:rsid w:val="00A947E1"/>
    <w:rsid w:val="00A97EE6"/>
    <w:rsid w:val="00AA00D7"/>
    <w:rsid w:val="00AB4FA5"/>
    <w:rsid w:val="00AB52C6"/>
    <w:rsid w:val="00AB613C"/>
    <w:rsid w:val="00AB7846"/>
    <w:rsid w:val="00AC38FE"/>
    <w:rsid w:val="00AC6470"/>
    <w:rsid w:val="00AC64C5"/>
    <w:rsid w:val="00AD50A5"/>
    <w:rsid w:val="00AE50C7"/>
    <w:rsid w:val="00AE5EFA"/>
    <w:rsid w:val="00AE779B"/>
    <w:rsid w:val="00AF1C32"/>
    <w:rsid w:val="00AF4D99"/>
    <w:rsid w:val="00B007D8"/>
    <w:rsid w:val="00B02124"/>
    <w:rsid w:val="00B07131"/>
    <w:rsid w:val="00B07AEB"/>
    <w:rsid w:val="00B10395"/>
    <w:rsid w:val="00B12154"/>
    <w:rsid w:val="00B14CBE"/>
    <w:rsid w:val="00B16753"/>
    <w:rsid w:val="00B16BFF"/>
    <w:rsid w:val="00B22D6D"/>
    <w:rsid w:val="00B25F42"/>
    <w:rsid w:val="00B31AFE"/>
    <w:rsid w:val="00B37C67"/>
    <w:rsid w:val="00B42A4D"/>
    <w:rsid w:val="00B54DFB"/>
    <w:rsid w:val="00B55AB7"/>
    <w:rsid w:val="00B7056F"/>
    <w:rsid w:val="00B70827"/>
    <w:rsid w:val="00B73CC8"/>
    <w:rsid w:val="00B74B13"/>
    <w:rsid w:val="00B74B5E"/>
    <w:rsid w:val="00B76287"/>
    <w:rsid w:val="00B8150D"/>
    <w:rsid w:val="00B8230F"/>
    <w:rsid w:val="00B85260"/>
    <w:rsid w:val="00B93BF3"/>
    <w:rsid w:val="00B977F8"/>
    <w:rsid w:val="00BA1784"/>
    <w:rsid w:val="00BA46B1"/>
    <w:rsid w:val="00BA7EFD"/>
    <w:rsid w:val="00BB1507"/>
    <w:rsid w:val="00BB1F04"/>
    <w:rsid w:val="00BB2427"/>
    <w:rsid w:val="00BB7133"/>
    <w:rsid w:val="00BC1435"/>
    <w:rsid w:val="00BD498D"/>
    <w:rsid w:val="00BF00BC"/>
    <w:rsid w:val="00BF694D"/>
    <w:rsid w:val="00C000D8"/>
    <w:rsid w:val="00C03D73"/>
    <w:rsid w:val="00C05DFE"/>
    <w:rsid w:val="00C073A1"/>
    <w:rsid w:val="00C1204B"/>
    <w:rsid w:val="00C2097F"/>
    <w:rsid w:val="00C2554F"/>
    <w:rsid w:val="00C33ED2"/>
    <w:rsid w:val="00C34BF0"/>
    <w:rsid w:val="00C37896"/>
    <w:rsid w:val="00C438A8"/>
    <w:rsid w:val="00C45590"/>
    <w:rsid w:val="00C45D42"/>
    <w:rsid w:val="00C4691A"/>
    <w:rsid w:val="00C47707"/>
    <w:rsid w:val="00C5538B"/>
    <w:rsid w:val="00C558EC"/>
    <w:rsid w:val="00C569C6"/>
    <w:rsid w:val="00C7049A"/>
    <w:rsid w:val="00C7257D"/>
    <w:rsid w:val="00C73331"/>
    <w:rsid w:val="00C87A7B"/>
    <w:rsid w:val="00C87D2F"/>
    <w:rsid w:val="00C93F0C"/>
    <w:rsid w:val="00CB4716"/>
    <w:rsid w:val="00CC2EE4"/>
    <w:rsid w:val="00CC3DA4"/>
    <w:rsid w:val="00CD4B6A"/>
    <w:rsid w:val="00CD660C"/>
    <w:rsid w:val="00CE5BAF"/>
    <w:rsid w:val="00CF0BC3"/>
    <w:rsid w:val="00CF0C30"/>
    <w:rsid w:val="00CF0F18"/>
    <w:rsid w:val="00CF3133"/>
    <w:rsid w:val="00CF4548"/>
    <w:rsid w:val="00CF5DC2"/>
    <w:rsid w:val="00CF6275"/>
    <w:rsid w:val="00CF64ED"/>
    <w:rsid w:val="00D0114F"/>
    <w:rsid w:val="00D04E36"/>
    <w:rsid w:val="00D069ED"/>
    <w:rsid w:val="00D06B18"/>
    <w:rsid w:val="00D20472"/>
    <w:rsid w:val="00D20E8A"/>
    <w:rsid w:val="00D2260A"/>
    <w:rsid w:val="00D35EEE"/>
    <w:rsid w:val="00D57EE1"/>
    <w:rsid w:val="00D57FB4"/>
    <w:rsid w:val="00D60BDB"/>
    <w:rsid w:val="00D6453A"/>
    <w:rsid w:val="00D6457C"/>
    <w:rsid w:val="00D652E0"/>
    <w:rsid w:val="00D6631B"/>
    <w:rsid w:val="00D7104A"/>
    <w:rsid w:val="00D72A32"/>
    <w:rsid w:val="00D818B5"/>
    <w:rsid w:val="00D83049"/>
    <w:rsid w:val="00D90463"/>
    <w:rsid w:val="00D912C1"/>
    <w:rsid w:val="00D94864"/>
    <w:rsid w:val="00DA2EE6"/>
    <w:rsid w:val="00DA36A7"/>
    <w:rsid w:val="00DA6384"/>
    <w:rsid w:val="00DC322C"/>
    <w:rsid w:val="00DC41C2"/>
    <w:rsid w:val="00DD4C60"/>
    <w:rsid w:val="00DD6459"/>
    <w:rsid w:val="00DD7DA7"/>
    <w:rsid w:val="00DE2091"/>
    <w:rsid w:val="00DE42A2"/>
    <w:rsid w:val="00DF6FE1"/>
    <w:rsid w:val="00DF7ADC"/>
    <w:rsid w:val="00E031E6"/>
    <w:rsid w:val="00E04708"/>
    <w:rsid w:val="00E06FD2"/>
    <w:rsid w:val="00E273AB"/>
    <w:rsid w:val="00E27B16"/>
    <w:rsid w:val="00E317DF"/>
    <w:rsid w:val="00E33732"/>
    <w:rsid w:val="00E3482A"/>
    <w:rsid w:val="00E375F8"/>
    <w:rsid w:val="00E403C3"/>
    <w:rsid w:val="00E54653"/>
    <w:rsid w:val="00E5793B"/>
    <w:rsid w:val="00E61E96"/>
    <w:rsid w:val="00E70A08"/>
    <w:rsid w:val="00E72D75"/>
    <w:rsid w:val="00E75E24"/>
    <w:rsid w:val="00E85A81"/>
    <w:rsid w:val="00E86DC3"/>
    <w:rsid w:val="00EA075C"/>
    <w:rsid w:val="00EB789B"/>
    <w:rsid w:val="00EC09E6"/>
    <w:rsid w:val="00EC4E35"/>
    <w:rsid w:val="00EC6C09"/>
    <w:rsid w:val="00ED3762"/>
    <w:rsid w:val="00ED7675"/>
    <w:rsid w:val="00EE1193"/>
    <w:rsid w:val="00EE7D5B"/>
    <w:rsid w:val="00EF0AD6"/>
    <w:rsid w:val="00EF3D97"/>
    <w:rsid w:val="00EF66C2"/>
    <w:rsid w:val="00F02D79"/>
    <w:rsid w:val="00F11889"/>
    <w:rsid w:val="00F214A9"/>
    <w:rsid w:val="00F23A6D"/>
    <w:rsid w:val="00F2593E"/>
    <w:rsid w:val="00F27729"/>
    <w:rsid w:val="00F37026"/>
    <w:rsid w:val="00F41F96"/>
    <w:rsid w:val="00F42F7F"/>
    <w:rsid w:val="00F45E81"/>
    <w:rsid w:val="00F46FF9"/>
    <w:rsid w:val="00F5238F"/>
    <w:rsid w:val="00F524EC"/>
    <w:rsid w:val="00F63E81"/>
    <w:rsid w:val="00F67EB8"/>
    <w:rsid w:val="00F71997"/>
    <w:rsid w:val="00F8364E"/>
    <w:rsid w:val="00F86B42"/>
    <w:rsid w:val="00F87273"/>
    <w:rsid w:val="00F90C87"/>
    <w:rsid w:val="00FB1B91"/>
    <w:rsid w:val="00FB6C1B"/>
    <w:rsid w:val="00FC061F"/>
    <w:rsid w:val="00FC1B9F"/>
    <w:rsid w:val="00FD3D71"/>
    <w:rsid w:val="00FE21D5"/>
    <w:rsid w:val="00FE7A0B"/>
    <w:rsid w:val="00FF241A"/>
    <w:rsid w:val="00FF302D"/>
    <w:rsid w:val="00FF3F6A"/>
    <w:rsid w:val="00FF4522"/>
    <w:rsid w:val="00FF7D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mini" w:name="verbetes"/>
  <w:smartTagType w:namespaceuri="schemas-houaiss/acao" w:name="dm"/>
  <w:smartTagType w:namespaceuri="urn:schemas-microsoft-com:office:smarttags" w:name="metricconverter"/>
  <w:shapeDefaults>
    <o:shapedefaults v:ext="edit" spidmax="2050"/>
    <o:shapelayout v:ext="edit">
      <o:idmap v:ext="edit" data="2"/>
    </o:shapelayout>
  </w:shapeDefaults>
  <w:decimalSymbol w:val=","/>
  <w:listSeparator w:val=";"/>
  <w14:docId w14:val="30B37F0A"/>
  <w15:chartTrackingRefBased/>
  <w15:docId w15:val="{508F198E-375E-41CD-B49F-1E7E4F39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5B44"/>
    <w:pPr>
      <w:spacing w:before="240"/>
    </w:pPr>
    <w:rPr>
      <w:rFonts w:ascii="Arial" w:hAnsi="Arial"/>
      <w:sz w:val="24"/>
      <w:szCs w:val="24"/>
    </w:rPr>
  </w:style>
  <w:style w:type="paragraph" w:styleId="Ttulo1">
    <w:name w:val="heading 1"/>
    <w:basedOn w:val="Normal"/>
    <w:next w:val="Normal"/>
    <w:link w:val="Ttulo1Char"/>
    <w:qFormat/>
    <w:rsid w:val="004519A3"/>
    <w:pPr>
      <w:keepNext/>
      <w:numPr>
        <w:numId w:val="1"/>
      </w:numPr>
      <w:spacing w:before="0" w:after="240"/>
      <w:ind w:left="357" w:hanging="357"/>
      <w:outlineLvl w:val="0"/>
    </w:pPr>
    <w:rPr>
      <w:b/>
      <w:bCs/>
      <w:kern w:val="32"/>
      <w:szCs w:val="32"/>
    </w:rPr>
  </w:style>
  <w:style w:type="paragraph" w:styleId="Ttulo3">
    <w:name w:val="heading 3"/>
    <w:basedOn w:val="Normal"/>
    <w:next w:val="Normal"/>
    <w:autoRedefine/>
    <w:qFormat/>
    <w:rsid w:val="00721C11"/>
    <w:pPr>
      <w:autoSpaceDE w:val="0"/>
      <w:autoSpaceDN w:val="0"/>
      <w:adjustRightInd w:val="0"/>
      <w:spacing w:before="0"/>
      <w:ind w:left="1985" w:hanging="1134"/>
      <w:jc w:val="both"/>
      <w:outlineLvl w:val="2"/>
    </w:pPr>
    <w:rPr>
      <w:rFonts w:cs="Arial"/>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3E5B44"/>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240A4F"/>
    <w:rPr>
      <w:rFonts w:ascii="Tahoma" w:hAnsi="Tahoma" w:cs="Tahoma"/>
      <w:sz w:val="16"/>
      <w:szCs w:val="16"/>
    </w:rPr>
  </w:style>
  <w:style w:type="paragraph" w:styleId="Cabealho">
    <w:name w:val="header"/>
    <w:aliases w:val="Cabeçalho 1"/>
    <w:basedOn w:val="Normal"/>
    <w:link w:val="CabealhoChar"/>
    <w:rsid w:val="00645BD3"/>
    <w:pPr>
      <w:tabs>
        <w:tab w:val="center" w:pos="4252"/>
        <w:tab w:val="right" w:pos="8504"/>
      </w:tabs>
    </w:pPr>
  </w:style>
  <w:style w:type="paragraph" w:styleId="Rodap">
    <w:name w:val="footer"/>
    <w:basedOn w:val="Normal"/>
    <w:rsid w:val="00645BD3"/>
    <w:pPr>
      <w:tabs>
        <w:tab w:val="center" w:pos="4252"/>
        <w:tab w:val="right" w:pos="8504"/>
      </w:tabs>
    </w:pPr>
  </w:style>
  <w:style w:type="character" w:customStyle="1" w:styleId="shorttext">
    <w:name w:val="short_text"/>
    <w:basedOn w:val="Fontepargpadro"/>
    <w:rsid w:val="00853A46"/>
  </w:style>
  <w:style w:type="paragraph" w:styleId="Sumrio1">
    <w:name w:val="toc 1"/>
    <w:basedOn w:val="Normal"/>
    <w:next w:val="Normal"/>
    <w:autoRedefine/>
    <w:uiPriority w:val="39"/>
    <w:rsid w:val="0058453E"/>
    <w:pPr>
      <w:spacing w:before="360" w:after="360"/>
    </w:pPr>
    <w:rPr>
      <w:rFonts w:ascii="Times New Roman" w:hAnsi="Times New Roman"/>
      <w:b/>
      <w:bCs/>
      <w:caps/>
      <w:sz w:val="22"/>
      <w:szCs w:val="22"/>
      <w:u w:val="single"/>
    </w:rPr>
  </w:style>
  <w:style w:type="character" w:styleId="Hyperlink">
    <w:name w:val="Hyperlink"/>
    <w:uiPriority w:val="99"/>
    <w:rsid w:val="0058453E"/>
    <w:rPr>
      <w:color w:val="0000FF"/>
      <w:u w:val="single"/>
    </w:rPr>
  </w:style>
  <w:style w:type="paragraph" w:styleId="Sumrio2">
    <w:name w:val="toc 2"/>
    <w:basedOn w:val="Normal"/>
    <w:next w:val="Normal"/>
    <w:autoRedefine/>
    <w:semiHidden/>
    <w:rsid w:val="0058453E"/>
    <w:pPr>
      <w:spacing w:before="0"/>
    </w:pPr>
    <w:rPr>
      <w:rFonts w:ascii="Times New Roman" w:hAnsi="Times New Roman"/>
      <w:b/>
      <w:bCs/>
      <w:smallCaps/>
      <w:sz w:val="22"/>
      <w:szCs w:val="22"/>
    </w:rPr>
  </w:style>
  <w:style w:type="paragraph" w:styleId="Sumrio3">
    <w:name w:val="toc 3"/>
    <w:basedOn w:val="Normal"/>
    <w:next w:val="Normal"/>
    <w:autoRedefine/>
    <w:semiHidden/>
    <w:rsid w:val="0058453E"/>
    <w:pPr>
      <w:spacing w:before="0"/>
    </w:pPr>
    <w:rPr>
      <w:rFonts w:ascii="Times New Roman" w:hAnsi="Times New Roman"/>
      <w:smallCaps/>
      <w:sz w:val="22"/>
      <w:szCs w:val="22"/>
    </w:rPr>
  </w:style>
  <w:style w:type="paragraph" w:styleId="Sumrio4">
    <w:name w:val="toc 4"/>
    <w:basedOn w:val="Normal"/>
    <w:next w:val="Normal"/>
    <w:autoRedefine/>
    <w:semiHidden/>
    <w:rsid w:val="0058453E"/>
    <w:pPr>
      <w:spacing w:before="0"/>
    </w:pPr>
    <w:rPr>
      <w:rFonts w:ascii="Times New Roman" w:hAnsi="Times New Roman"/>
      <w:sz w:val="22"/>
      <w:szCs w:val="22"/>
    </w:rPr>
  </w:style>
  <w:style w:type="paragraph" w:styleId="Sumrio5">
    <w:name w:val="toc 5"/>
    <w:basedOn w:val="Normal"/>
    <w:next w:val="Normal"/>
    <w:autoRedefine/>
    <w:semiHidden/>
    <w:rsid w:val="0058453E"/>
    <w:pPr>
      <w:spacing w:before="0"/>
    </w:pPr>
    <w:rPr>
      <w:rFonts w:ascii="Times New Roman" w:hAnsi="Times New Roman"/>
      <w:sz w:val="22"/>
      <w:szCs w:val="22"/>
    </w:rPr>
  </w:style>
  <w:style w:type="paragraph" w:styleId="Sumrio6">
    <w:name w:val="toc 6"/>
    <w:basedOn w:val="Normal"/>
    <w:next w:val="Normal"/>
    <w:autoRedefine/>
    <w:semiHidden/>
    <w:rsid w:val="0058453E"/>
    <w:pPr>
      <w:spacing w:before="0"/>
    </w:pPr>
    <w:rPr>
      <w:rFonts w:ascii="Times New Roman" w:hAnsi="Times New Roman"/>
      <w:sz w:val="22"/>
      <w:szCs w:val="22"/>
    </w:rPr>
  </w:style>
  <w:style w:type="paragraph" w:styleId="Sumrio7">
    <w:name w:val="toc 7"/>
    <w:basedOn w:val="Normal"/>
    <w:next w:val="Normal"/>
    <w:autoRedefine/>
    <w:semiHidden/>
    <w:rsid w:val="0058453E"/>
    <w:pPr>
      <w:spacing w:before="0"/>
    </w:pPr>
    <w:rPr>
      <w:rFonts w:ascii="Times New Roman" w:hAnsi="Times New Roman"/>
      <w:sz w:val="22"/>
      <w:szCs w:val="22"/>
    </w:rPr>
  </w:style>
  <w:style w:type="paragraph" w:styleId="Sumrio8">
    <w:name w:val="toc 8"/>
    <w:basedOn w:val="Normal"/>
    <w:next w:val="Normal"/>
    <w:autoRedefine/>
    <w:semiHidden/>
    <w:rsid w:val="0058453E"/>
    <w:pPr>
      <w:spacing w:before="0"/>
    </w:pPr>
    <w:rPr>
      <w:rFonts w:ascii="Times New Roman" w:hAnsi="Times New Roman"/>
      <w:sz w:val="22"/>
      <w:szCs w:val="22"/>
    </w:rPr>
  </w:style>
  <w:style w:type="paragraph" w:styleId="Sumrio9">
    <w:name w:val="toc 9"/>
    <w:basedOn w:val="Normal"/>
    <w:next w:val="Normal"/>
    <w:autoRedefine/>
    <w:semiHidden/>
    <w:rsid w:val="0058453E"/>
    <w:pPr>
      <w:spacing w:before="0"/>
    </w:pPr>
    <w:rPr>
      <w:rFonts w:ascii="Times New Roman" w:hAnsi="Times New Roman"/>
      <w:sz w:val="22"/>
      <w:szCs w:val="22"/>
    </w:rPr>
  </w:style>
  <w:style w:type="character" w:styleId="Nmerodepgina">
    <w:name w:val="page number"/>
    <w:basedOn w:val="Fontepargpadro"/>
    <w:rsid w:val="00577F15"/>
  </w:style>
  <w:style w:type="character" w:styleId="Refdecomentrio">
    <w:name w:val="annotation reference"/>
    <w:uiPriority w:val="99"/>
    <w:rsid w:val="00CF0BC3"/>
    <w:rPr>
      <w:sz w:val="16"/>
      <w:szCs w:val="16"/>
    </w:rPr>
  </w:style>
  <w:style w:type="paragraph" w:styleId="Textodecomentrio">
    <w:name w:val="annotation text"/>
    <w:basedOn w:val="Normal"/>
    <w:link w:val="TextodecomentrioChar"/>
    <w:uiPriority w:val="99"/>
    <w:rsid w:val="00CF0BC3"/>
    <w:pPr>
      <w:spacing w:before="0"/>
    </w:pPr>
    <w:rPr>
      <w:rFonts w:cs="Arial"/>
      <w:color w:val="000000"/>
      <w:sz w:val="20"/>
      <w:szCs w:val="20"/>
    </w:rPr>
  </w:style>
  <w:style w:type="character" w:customStyle="1" w:styleId="TextodecomentrioChar">
    <w:name w:val="Texto de comentário Char"/>
    <w:link w:val="Textodecomentrio"/>
    <w:uiPriority w:val="99"/>
    <w:rsid w:val="00CF0BC3"/>
    <w:rPr>
      <w:rFonts w:ascii="Arial" w:hAnsi="Arial" w:cs="Arial"/>
      <w:color w:val="000000"/>
    </w:rPr>
  </w:style>
  <w:style w:type="paragraph" w:styleId="Assuntodocomentrio">
    <w:name w:val="annotation subject"/>
    <w:basedOn w:val="Textodecomentrio"/>
    <w:next w:val="Textodecomentrio"/>
    <w:link w:val="AssuntodocomentrioChar"/>
    <w:rsid w:val="00DA36A7"/>
    <w:pPr>
      <w:spacing w:before="240"/>
    </w:pPr>
    <w:rPr>
      <w:rFonts w:cs="Times New Roman"/>
      <w:b/>
      <w:bCs/>
      <w:color w:val="auto"/>
    </w:rPr>
  </w:style>
  <w:style w:type="character" w:customStyle="1" w:styleId="AssuntodocomentrioChar">
    <w:name w:val="Assunto do comentário Char"/>
    <w:link w:val="Assuntodocomentrio"/>
    <w:rsid w:val="00DA36A7"/>
    <w:rPr>
      <w:rFonts w:ascii="Arial" w:hAnsi="Arial" w:cs="Arial"/>
      <w:b/>
      <w:bCs/>
      <w:color w:val="000000"/>
    </w:rPr>
  </w:style>
  <w:style w:type="paragraph" w:styleId="Reviso">
    <w:name w:val="Revision"/>
    <w:hidden/>
    <w:uiPriority w:val="99"/>
    <w:semiHidden/>
    <w:rsid w:val="009146D5"/>
    <w:rPr>
      <w:rFonts w:ascii="Arial" w:hAnsi="Arial"/>
      <w:sz w:val="24"/>
      <w:szCs w:val="24"/>
    </w:rPr>
  </w:style>
  <w:style w:type="character" w:customStyle="1" w:styleId="Ttulo1Char">
    <w:name w:val="Título 1 Char"/>
    <w:link w:val="Ttulo1"/>
    <w:rsid w:val="004519A3"/>
    <w:rPr>
      <w:rFonts w:ascii="Arial" w:hAnsi="Arial"/>
      <w:b/>
      <w:bCs/>
      <w:kern w:val="32"/>
      <w:sz w:val="24"/>
      <w:szCs w:val="32"/>
    </w:rPr>
  </w:style>
  <w:style w:type="paragraph" w:customStyle="1" w:styleId="Ttulo2">
    <w:name w:val="Título2"/>
    <w:basedOn w:val="Normal"/>
    <w:link w:val="Ttulo2Char"/>
    <w:autoRedefine/>
    <w:qFormat/>
    <w:rsid w:val="004519A3"/>
    <w:pPr>
      <w:numPr>
        <w:ilvl w:val="1"/>
        <w:numId w:val="30"/>
      </w:numPr>
      <w:spacing w:before="120" w:after="120"/>
      <w:jc w:val="both"/>
      <w:outlineLvl w:val="1"/>
    </w:pPr>
    <w:rPr>
      <w:lang w:val="en-US"/>
    </w:rPr>
  </w:style>
  <w:style w:type="character" w:customStyle="1" w:styleId="Ttulo2Char">
    <w:name w:val="Título2 Char"/>
    <w:link w:val="Ttulo2"/>
    <w:rsid w:val="004519A3"/>
    <w:rPr>
      <w:rFonts w:ascii="Arial" w:hAnsi="Arial"/>
      <w:sz w:val="24"/>
      <w:szCs w:val="24"/>
      <w:lang w:val="en-US"/>
    </w:rPr>
  </w:style>
  <w:style w:type="character" w:customStyle="1" w:styleId="CabealhoChar">
    <w:name w:val="Cabeçalho Char"/>
    <w:aliases w:val="Cabeçalho 1 Char"/>
    <w:link w:val="Cabealho"/>
    <w:rsid w:val="004519A3"/>
    <w:rPr>
      <w:rFonts w:ascii="Arial" w:hAnsi="Arial"/>
      <w:sz w:val="24"/>
      <w:szCs w:val="24"/>
    </w:rPr>
  </w:style>
  <w:style w:type="paragraph" w:customStyle="1" w:styleId="texto2">
    <w:name w:val="texto 2"/>
    <w:basedOn w:val="Ttulo2"/>
    <w:link w:val="texto2Char"/>
    <w:qFormat/>
    <w:rsid w:val="004519A3"/>
    <w:pPr>
      <w:spacing w:before="0" w:after="240"/>
      <w:ind w:left="567" w:hanging="567"/>
    </w:pPr>
  </w:style>
  <w:style w:type="character" w:customStyle="1" w:styleId="texto2Char">
    <w:name w:val="texto 2 Char"/>
    <w:link w:val="texto2"/>
    <w:rsid w:val="004519A3"/>
    <w:rPr>
      <w:rFonts w:ascii="Arial" w:hAnsi="Arial"/>
      <w:sz w:val="24"/>
      <w:szCs w:val="24"/>
      <w:lang w:val="en-US"/>
    </w:rPr>
  </w:style>
  <w:style w:type="paragraph" w:customStyle="1" w:styleId="texto3">
    <w:name w:val="texto 3"/>
    <w:basedOn w:val="TextosemFormatao"/>
    <w:link w:val="texto3Char"/>
    <w:qFormat/>
    <w:rsid w:val="004519A3"/>
    <w:pPr>
      <w:numPr>
        <w:ilvl w:val="2"/>
        <w:numId w:val="30"/>
      </w:numPr>
      <w:tabs>
        <w:tab w:val="num" w:pos="284"/>
      </w:tabs>
      <w:spacing w:before="0" w:after="240"/>
      <w:ind w:left="709" w:hanging="709"/>
      <w:jc w:val="both"/>
    </w:pPr>
    <w:rPr>
      <w:rFonts w:ascii="Arial" w:hAnsi="Arial"/>
      <w:sz w:val="24"/>
      <w:lang w:val="en-US"/>
    </w:rPr>
  </w:style>
  <w:style w:type="character" w:customStyle="1" w:styleId="texto3Char">
    <w:name w:val="texto 3 Char"/>
    <w:link w:val="texto3"/>
    <w:rsid w:val="004519A3"/>
    <w:rPr>
      <w:rFonts w:ascii="Arial" w:hAnsi="Arial" w:cs="Courier New"/>
      <w:sz w:val="24"/>
      <w:szCs w:val="24"/>
      <w:lang w:val="en-US"/>
    </w:rPr>
  </w:style>
  <w:style w:type="paragraph" w:styleId="TextosemFormatao">
    <w:name w:val="Plain Text"/>
    <w:basedOn w:val="Normal"/>
    <w:link w:val="TextosemFormataoChar"/>
    <w:rsid w:val="004519A3"/>
    <w:rPr>
      <w:rFonts w:ascii="Courier New" w:hAnsi="Courier New" w:cs="Courier New"/>
      <w:sz w:val="20"/>
      <w:szCs w:val="20"/>
    </w:rPr>
  </w:style>
  <w:style w:type="character" w:customStyle="1" w:styleId="TextosemFormataoChar">
    <w:name w:val="Texto sem Formatação Char"/>
    <w:link w:val="TextosemFormatao"/>
    <w:rsid w:val="004519A3"/>
    <w:rPr>
      <w:rFonts w:ascii="Courier New" w:hAnsi="Courier New" w:cs="Courier New"/>
    </w:rPr>
  </w:style>
  <w:style w:type="paragraph" w:customStyle="1" w:styleId="texto4">
    <w:name w:val="texto 4"/>
    <w:basedOn w:val="texto3"/>
    <w:link w:val="texto4Char"/>
    <w:qFormat/>
    <w:rsid w:val="004519A3"/>
    <w:pPr>
      <w:numPr>
        <w:ilvl w:val="3"/>
      </w:numPr>
      <w:ind w:left="1418" w:hanging="907"/>
    </w:pPr>
  </w:style>
  <w:style w:type="character" w:customStyle="1" w:styleId="texto4Char">
    <w:name w:val="texto 4 Char"/>
    <w:basedOn w:val="texto3Char"/>
    <w:link w:val="texto4"/>
    <w:rsid w:val="004519A3"/>
    <w:rPr>
      <w:rFonts w:ascii="Arial" w:hAnsi="Arial" w:cs="Courier New"/>
      <w:sz w:val="24"/>
      <w:szCs w:val="24"/>
      <w:lang w:val="en-US"/>
    </w:rPr>
  </w:style>
  <w:style w:type="paragraph" w:styleId="Ttulo">
    <w:name w:val="Title"/>
    <w:basedOn w:val="Normal"/>
    <w:next w:val="Normal"/>
    <w:link w:val="TtuloChar"/>
    <w:qFormat/>
    <w:rsid w:val="004519A3"/>
    <w:pPr>
      <w:spacing w:after="60"/>
      <w:jc w:val="center"/>
      <w:outlineLvl w:val="0"/>
    </w:pPr>
    <w:rPr>
      <w:rFonts w:ascii="Aptos Display" w:hAnsi="Aptos Display"/>
      <w:b/>
      <w:bCs/>
      <w:kern w:val="28"/>
      <w:sz w:val="32"/>
      <w:szCs w:val="32"/>
    </w:rPr>
  </w:style>
  <w:style w:type="character" w:customStyle="1" w:styleId="TtuloChar">
    <w:name w:val="Título Char"/>
    <w:link w:val="Ttulo"/>
    <w:rsid w:val="004519A3"/>
    <w:rPr>
      <w:rFonts w:ascii="Aptos Display" w:eastAsia="Times New Roman" w:hAnsi="Aptos Display" w:cs="Times New Roman"/>
      <w:b/>
      <w:bCs/>
      <w:kern w:val="28"/>
      <w:sz w:val="32"/>
      <w:szCs w:val="32"/>
    </w:rPr>
  </w:style>
  <w:style w:type="paragraph" w:styleId="NormalWeb">
    <w:name w:val="Normal (Web)"/>
    <w:basedOn w:val="Normal"/>
    <w:uiPriority w:val="99"/>
    <w:unhideWhenUsed/>
    <w:rsid w:val="00BB2427"/>
    <w:pPr>
      <w:spacing w:before="100" w:beforeAutospacing="1" w:after="100" w:afterAutospacing="1"/>
    </w:pPr>
    <w:rPr>
      <w:rFonts w:ascii="Times New Roman" w:eastAsia="Yu Mincho" w:hAnsi="Times New Roman"/>
    </w:rPr>
  </w:style>
  <w:style w:type="paragraph" w:styleId="Pr-formataoHTML">
    <w:name w:val="HTML Preformatted"/>
    <w:basedOn w:val="Normal"/>
    <w:link w:val="Pr-formataoHTMLChar"/>
    <w:rsid w:val="00FD3D71"/>
    <w:pPr>
      <w:spacing w:before="0"/>
    </w:pPr>
    <w:rPr>
      <w:rFonts w:ascii="Consolas" w:hAnsi="Consolas"/>
      <w:sz w:val="20"/>
      <w:szCs w:val="20"/>
    </w:rPr>
  </w:style>
  <w:style w:type="character" w:customStyle="1" w:styleId="Pr-formataoHTMLChar">
    <w:name w:val="Pré-formatação HTML Char"/>
    <w:basedOn w:val="Fontepargpadro"/>
    <w:link w:val="Pr-formataoHTML"/>
    <w:rsid w:val="00FD3D71"/>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4942">
      <w:bodyDiv w:val="1"/>
      <w:marLeft w:val="0"/>
      <w:marRight w:val="0"/>
      <w:marTop w:val="0"/>
      <w:marBottom w:val="0"/>
      <w:divBdr>
        <w:top w:val="none" w:sz="0" w:space="0" w:color="auto"/>
        <w:left w:val="none" w:sz="0" w:space="0" w:color="auto"/>
        <w:bottom w:val="none" w:sz="0" w:space="0" w:color="auto"/>
        <w:right w:val="none" w:sz="0" w:space="0" w:color="auto"/>
      </w:divBdr>
    </w:div>
    <w:div w:id="225340088">
      <w:bodyDiv w:val="1"/>
      <w:marLeft w:val="0"/>
      <w:marRight w:val="0"/>
      <w:marTop w:val="0"/>
      <w:marBottom w:val="0"/>
      <w:divBdr>
        <w:top w:val="none" w:sz="0" w:space="0" w:color="auto"/>
        <w:left w:val="none" w:sz="0" w:space="0" w:color="auto"/>
        <w:bottom w:val="none" w:sz="0" w:space="0" w:color="auto"/>
        <w:right w:val="none" w:sz="0" w:space="0" w:color="auto"/>
      </w:divBdr>
    </w:div>
    <w:div w:id="639966699">
      <w:bodyDiv w:val="1"/>
      <w:marLeft w:val="0"/>
      <w:marRight w:val="0"/>
      <w:marTop w:val="0"/>
      <w:marBottom w:val="0"/>
      <w:divBdr>
        <w:top w:val="none" w:sz="0" w:space="0" w:color="auto"/>
        <w:left w:val="none" w:sz="0" w:space="0" w:color="auto"/>
        <w:bottom w:val="none" w:sz="0" w:space="0" w:color="auto"/>
        <w:right w:val="none" w:sz="0" w:space="0" w:color="auto"/>
      </w:divBdr>
    </w:div>
    <w:div w:id="1908226357">
      <w:bodyDiv w:val="1"/>
      <w:marLeft w:val="0"/>
      <w:marRight w:val="0"/>
      <w:marTop w:val="0"/>
      <w:marBottom w:val="0"/>
      <w:divBdr>
        <w:top w:val="none" w:sz="0" w:space="0" w:color="auto"/>
        <w:left w:val="none" w:sz="0" w:space="0" w:color="auto"/>
        <w:bottom w:val="none" w:sz="0" w:space="0" w:color="auto"/>
        <w:right w:val="none" w:sz="0" w:space="0" w:color="auto"/>
      </w:divBdr>
    </w:div>
    <w:div w:id="195613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737e24e-05fc-443d-bcb2-495511f51982" xsi:nil="true"/>
    <lcf76f155ced4ddcb4097134ff3c332f xmlns="be9820c4-c026-4a88-893a-ff76cced5c8d">
      <Terms xmlns="http://schemas.microsoft.com/office/infopath/2007/PartnerControls"/>
    </lcf76f155ced4ddcb4097134ff3c332f>
    <SharedWithUsers xmlns="d737e24e-05fc-443d-bcb2-495511f51982">
      <UserInfo>
        <DisplayName/>
        <AccountId xsi:nil="true"/>
        <AccountType/>
      </UserInfo>
    </SharedWithUsers>
  </documentManagement>
</p:properties>
</file>

<file path=customXml/itemProps1.xml><?xml version="1.0" encoding="utf-8"?>
<ds:datastoreItem xmlns:ds="http://schemas.openxmlformats.org/officeDocument/2006/customXml" ds:itemID="{458AE2DE-83D6-4501-9D49-517E9E32E0C4}">
  <ds:schemaRefs>
    <ds:schemaRef ds:uri="http://schemas.openxmlformats.org/officeDocument/2006/bibliography"/>
  </ds:schemaRefs>
</ds:datastoreItem>
</file>

<file path=customXml/itemProps2.xml><?xml version="1.0" encoding="utf-8"?>
<ds:datastoreItem xmlns:ds="http://schemas.openxmlformats.org/officeDocument/2006/customXml" ds:itemID="{5734C2DD-11D5-42D7-9D6E-E13745F6090B}">
  <ds:schemaRefs>
    <ds:schemaRef ds:uri="http://schemas.microsoft.com/sharepoint/v3/contenttype/forms"/>
  </ds:schemaRefs>
</ds:datastoreItem>
</file>

<file path=customXml/itemProps3.xml><?xml version="1.0" encoding="utf-8"?>
<ds:datastoreItem xmlns:ds="http://schemas.openxmlformats.org/officeDocument/2006/customXml" ds:itemID="{6BC4CC32-E8AC-4F0C-B94E-A24B2DD7529C}">
  <ds:schemaRefs>
    <ds:schemaRef ds:uri="http://schemas.microsoft.com/office/2006/metadata/longProperties"/>
  </ds:schemaRefs>
</ds:datastoreItem>
</file>

<file path=customXml/itemProps4.xml><?xml version="1.0" encoding="utf-8"?>
<ds:datastoreItem xmlns:ds="http://schemas.openxmlformats.org/officeDocument/2006/customXml" ds:itemID="{DD63BB2E-2A25-404A-B6BC-153234F04844}"/>
</file>

<file path=customXml/itemProps5.xml><?xml version="1.0" encoding="utf-8"?>
<ds:datastoreItem xmlns:ds="http://schemas.openxmlformats.org/officeDocument/2006/customXml" ds:itemID="{836B92DF-FD0F-464C-96FE-608B287FB996}">
  <ds:schemaRefs>
    <ds:schemaRef ds:uri="http://schemas.microsoft.com/office/2006/metadata/properties"/>
    <ds:schemaRef ds:uri="http://schemas.microsoft.com/office/infopath/2007/PartnerControls"/>
    <ds:schemaRef ds:uri="d737e24e-05fc-443d-bcb2-495511f51982"/>
    <ds:schemaRef ds:uri="be9820c4-c026-4a88-893a-ff76cced5c8d"/>
  </ds:schemaRefs>
</ds:datastoreItem>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130</TotalTime>
  <Pages>14</Pages>
  <Words>3922</Words>
  <Characters>21181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Petrobras</Company>
  <LinksUpToDate>false</LinksUpToDate>
  <CharactersWithSpaces>25053</CharactersWithSpaces>
  <SharedDoc>false</SharedDoc>
  <HLinks>
    <vt:vector size="24" baseType="variant">
      <vt:variant>
        <vt:i4>1703988</vt:i4>
      </vt:variant>
      <vt:variant>
        <vt:i4>20</vt:i4>
      </vt:variant>
      <vt:variant>
        <vt:i4>0</vt:i4>
      </vt:variant>
      <vt:variant>
        <vt:i4>5</vt:i4>
      </vt:variant>
      <vt:variant>
        <vt:lpwstr/>
      </vt:variant>
      <vt:variant>
        <vt:lpwstr>_Toc179496580</vt:lpwstr>
      </vt:variant>
      <vt:variant>
        <vt:i4>1376308</vt:i4>
      </vt:variant>
      <vt:variant>
        <vt:i4>14</vt:i4>
      </vt:variant>
      <vt:variant>
        <vt:i4>0</vt:i4>
      </vt:variant>
      <vt:variant>
        <vt:i4>5</vt:i4>
      </vt:variant>
      <vt:variant>
        <vt:lpwstr/>
      </vt:variant>
      <vt:variant>
        <vt:lpwstr>_Toc179496579</vt:lpwstr>
      </vt:variant>
      <vt:variant>
        <vt:i4>1376308</vt:i4>
      </vt:variant>
      <vt:variant>
        <vt:i4>8</vt:i4>
      </vt:variant>
      <vt:variant>
        <vt:i4>0</vt:i4>
      </vt:variant>
      <vt:variant>
        <vt:i4>5</vt:i4>
      </vt:variant>
      <vt:variant>
        <vt:lpwstr/>
      </vt:variant>
      <vt:variant>
        <vt:lpwstr>_Toc179496578</vt:lpwstr>
      </vt:variant>
      <vt:variant>
        <vt:i4>1376308</vt:i4>
      </vt:variant>
      <vt:variant>
        <vt:i4>2</vt:i4>
      </vt:variant>
      <vt:variant>
        <vt:i4>0</vt:i4>
      </vt:variant>
      <vt:variant>
        <vt:i4>5</vt:i4>
      </vt:variant>
      <vt:variant>
        <vt:lpwstr/>
      </vt:variant>
      <vt:variant>
        <vt:lpwstr>_Toc179496577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Petrobras</dc:creator>
  <cp:keywords/>
  <dc:description/>
  <cp:lastModifiedBy>Leandro de Sousa Torres</cp:lastModifiedBy>
  <cp:revision>54</cp:revision>
  <cp:lastPrinted>2023-05-30T21:34:00Z</cp:lastPrinted>
  <dcterms:created xsi:type="dcterms:W3CDTF">2025-08-27T02:14:00Z</dcterms:created>
  <dcterms:modified xsi:type="dcterms:W3CDTF">2025-09-30T18:44:00Z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Leandro de Mello Pacheco</vt:lpwstr>
  </property>
  <property fmtid="{D5CDD505-2E9C-101B-9397-08002B2CF9AE}" pid="3" name="Order">
    <vt:r8>4803200</vt:r8>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Leandro de Mello Pacheco</vt:lpwstr>
  </property>
  <property fmtid="{D5CDD505-2E9C-101B-9397-08002B2CF9AE}" pid="7" name="TriggerFlowInfo">
    <vt:lpwstr/>
  </property>
  <property fmtid="{D5CDD505-2E9C-101B-9397-08002B2CF9AE}" pid="8" name="ContentTypeId">
    <vt:lpwstr>0x010100A286594D67E7424DAE05E55623AD2E78</vt:lpwstr>
  </property>
  <property fmtid="{D5CDD505-2E9C-101B-9397-08002B2CF9AE}" pid="9" name="MSIP_Label_140b9f7d-8e3a-482f-9702-4b7ffc40985a_Enabled">
    <vt:lpwstr>true</vt:lpwstr>
  </property>
  <property fmtid="{D5CDD505-2E9C-101B-9397-08002B2CF9AE}" pid="10" name="MSIP_Label_140b9f7d-8e3a-482f-9702-4b7ffc40985a_SetDate">
    <vt:lpwstr>2023-05-30T21:36:46Z</vt:lpwstr>
  </property>
  <property fmtid="{D5CDD505-2E9C-101B-9397-08002B2CF9AE}" pid="11" name="MSIP_Label_140b9f7d-8e3a-482f-9702-4b7ffc40985a_Method">
    <vt:lpwstr>Privileged</vt:lpwstr>
  </property>
  <property fmtid="{D5CDD505-2E9C-101B-9397-08002B2CF9AE}" pid="12" name="MSIP_Label_140b9f7d-8e3a-482f-9702-4b7ffc40985a_Name">
    <vt:lpwstr>Pública</vt:lpwstr>
  </property>
  <property fmtid="{D5CDD505-2E9C-101B-9397-08002B2CF9AE}" pid="13" name="MSIP_Label_140b9f7d-8e3a-482f-9702-4b7ffc40985a_SiteId">
    <vt:lpwstr>5b6f6241-9a57-4be4-8e50-1dfa72e79a57</vt:lpwstr>
  </property>
  <property fmtid="{D5CDD505-2E9C-101B-9397-08002B2CF9AE}" pid="14" name="MSIP_Label_140b9f7d-8e3a-482f-9702-4b7ffc40985a_ActionId">
    <vt:lpwstr>6e7ffa14-0edd-401a-b1da-87039e9b9a33</vt:lpwstr>
  </property>
  <property fmtid="{D5CDD505-2E9C-101B-9397-08002B2CF9AE}" pid="15" name="MSIP_Label_140b9f7d-8e3a-482f-9702-4b7ffc40985a_ContentBits">
    <vt:lpwstr>2</vt:lpwstr>
  </property>
  <property fmtid="{D5CDD505-2E9C-101B-9397-08002B2CF9AE}" pid="16" name="xd_Signature">
    <vt:lpwstr/>
  </property>
  <property fmtid="{D5CDD505-2E9C-101B-9397-08002B2CF9AE}" pid="17" name="xd_ProgID">
    <vt:lpwstr/>
  </property>
  <property fmtid="{D5CDD505-2E9C-101B-9397-08002B2CF9AE}" pid="18" name="SharedWithUsers">
    <vt:lpwstr/>
  </property>
  <property fmtid="{D5CDD505-2E9C-101B-9397-08002B2CF9AE}" pid="19" name="TemplateUrl">
    <vt:lpwstr/>
  </property>
  <property fmtid="{D5CDD505-2E9C-101B-9397-08002B2CF9AE}" pid="20" name="MediaServiceImageTags">
    <vt:lpwstr/>
  </property>
  <property fmtid="{D5CDD505-2E9C-101B-9397-08002B2CF9AE}" pid="21" name="ClassificationContentMarkingFooterShapeIds">
    <vt:lpwstr>3b0e1bbe,137011b3,1f844b2c</vt:lpwstr>
  </property>
  <property fmtid="{D5CDD505-2E9C-101B-9397-08002B2CF9AE}" pid="22" name="ClassificationContentMarkingFooterFontProps">
    <vt:lpwstr>#737373,9,Trebuchet MS</vt:lpwstr>
  </property>
  <property fmtid="{D5CDD505-2E9C-101B-9397-08002B2CF9AE}" pid="23" name="ClassificationContentMarkingFooterText">
    <vt:lpwstr>PÚBLICA</vt:lpwstr>
  </property>
</Properties>
</file>